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tiff" ContentType="image/tiff"/>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23"/>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23"/>
              <w:framePr w:wrap="notBeside" w:vAnchor="page" w:hAnchor="page" w:x="1372" w:y="568"/>
              <w:tabs>
                <w:tab w:val="clear" w:pos="4153"/>
                <w:tab w:val="clear" w:pos="8306"/>
              </w:tabs>
              <w:spacing w:line="240" w:lineRule="auto"/>
              <w:ind w:left="3"/>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97.040.99</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23"/>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 </w:t>
            </w:r>
            <w:r>
              <w:rPr>
                <w:rFonts w:ascii="黑体" w:hAnsi="黑体" w:eastAsia="黑体"/>
                <w:sz w:val="21"/>
                <w:szCs w:val="21"/>
              </w:rPr>
              <w:t xml:space="preserve"> </w:t>
            </w:r>
          </w:p>
        </w:tc>
        <w:tc>
          <w:tcPr>
            <w:tcW w:w="8855" w:type="dxa"/>
          </w:tcPr>
          <w:p>
            <w:pPr>
              <w:pStyle w:val="23"/>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t xml:space="preserve">Y </w:t>
            </w: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68</w:t>
            </w:r>
            <w:r>
              <w:rPr>
                <w:rFonts w:ascii="黑体" w:hAnsi="黑体" w:eastAsia="黑体"/>
                <w:sz w:val="21"/>
                <w:szCs w:val="21"/>
              </w:rPr>
              <w:fldChar w:fldCharType="end"/>
            </w:r>
            <w:bookmarkEnd w:id="1"/>
          </w:p>
        </w:tc>
      </w:tr>
    </w:tbl>
    <w:p>
      <w:pPr>
        <w:pStyle w:val="61"/>
        <w:framePr w:w="9639" w:h="624" w:hRule="exact" w:hSpace="181" w:vSpace="181" w:hAnchor="page" w:x="1305" w:y="2269"/>
      </w:pPr>
      <w:bookmarkStart w:id="2" w:name="_Hlk26473981"/>
      <w:r>
        <w:rPr>
          <w:rFonts w:hint="eastAsia"/>
        </w:rPr>
        <w:t>中华人民共和国国家标准</w:t>
      </w:r>
    </w:p>
    <w:bookmarkEnd w:id="2"/>
    <w:p>
      <w:pPr>
        <w:pStyle w:val="206"/>
      </w:pPr>
      <w:r>
        <w:fldChar w:fldCharType="begin">
          <w:ffData>
            <w:name w:val="文字1"/>
            <w:enabled/>
            <w:calcOnExit w:val="0"/>
            <w:textInput>
              <w:default w:val="GB/T"/>
            </w:textInput>
          </w:ffData>
        </w:fldChar>
      </w:r>
      <w:bookmarkStart w:id="3" w:name="文字1"/>
      <w:r>
        <w:instrText xml:space="preserve"> FORMTEXT </w:instrText>
      </w:r>
      <w:r>
        <w:fldChar w:fldCharType="separate"/>
      </w:r>
      <w:r>
        <w:t>GB/T</w:t>
      </w:r>
      <w:r>
        <w:fldChar w:fldCharType="end"/>
      </w:r>
      <w:bookmarkEnd w:id="3"/>
      <w:r>
        <w:t xml:space="preserve"> </w:t>
      </w:r>
      <w:r>
        <w:fldChar w:fldCharType="begin">
          <w:ffData>
            <w:name w:val="NSTD_CODE_F"/>
            <w:enabled/>
            <w:calcOnExit w:val="0"/>
            <w:textInput>
              <w:default w:val="XXXXX"/>
            </w:textInput>
          </w:ffData>
        </w:fldChar>
      </w:r>
      <w:bookmarkStart w:id="4" w:name="NSTD_CODE_F"/>
      <w:r>
        <w:instrText xml:space="preserve"> FORMTEXT </w:instrText>
      </w:r>
      <w:r>
        <w:fldChar w:fldCharType="separate"/>
      </w:r>
      <w:r>
        <w:t>17713</w:t>
      </w:r>
      <w:r>
        <w:fldChar w:fldCharType="end"/>
      </w:r>
      <w:bookmarkEnd w:id="4"/>
      <w:r>
        <w:rPr>
          <w:rFonts w:hAnsi="黑体"/>
        </w:rPr>
        <w:t>—</w:t>
      </w:r>
      <w:r>
        <w:fldChar w:fldCharType="begin">
          <w:ffData>
            <w:name w:val="NSTD_CODE_B"/>
            <w:enabled/>
            <w:calcOnExit w:val="0"/>
            <w:textInput>
              <w:default w:val="XXXX"/>
            </w:textInput>
          </w:ffData>
        </w:fldChar>
      </w:r>
      <w:bookmarkStart w:id="5" w:name="NSTD_CODE_B"/>
      <w:r>
        <w:instrText xml:space="preserve"> FORMTEXT </w:instrText>
      </w:r>
      <w:r>
        <w:fldChar w:fldCharType="separate"/>
      </w:r>
      <w:r>
        <w:t>XXXX</w:t>
      </w:r>
      <w:r>
        <w:fldChar w:fldCharType="end"/>
      </w:r>
      <w:bookmarkEnd w:id="5"/>
    </w:p>
    <w:p>
      <w:pPr>
        <w:pStyle w:val="207"/>
        <w:rPr>
          <w:rFonts w:hAnsi="黑体"/>
        </w:rPr>
      </w:pPr>
      <w:r>
        <w:rPr>
          <w:rFonts w:hAnsi="黑体"/>
        </w:rPr>
        <w:fldChar w:fldCharType="begin">
          <w:ffData>
            <w:name w:val="OSTD_CODE"/>
            <w:enabled/>
            <w:calcOnExit w:val="0"/>
            <w:textInput/>
          </w:ffData>
        </w:fldChar>
      </w:r>
      <w:bookmarkStart w:id="6" w:name="OSTD_CODE"/>
      <w:r>
        <w:rPr>
          <w:rFonts w:hAnsi="黑体"/>
        </w:rPr>
        <w:instrText xml:space="preserve"> FORMTEXT </w:instrText>
      </w:r>
      <w:r>
        <w:rPr>
          <w:rFonts w:hAnsi="黑体"/>
        </w:rPr>
        <w:fldChar w:fldCharType="separate"/>
      </w:r>
      <w:r>
        <w:rPr>
          <w:rFonts w:hAnsi="黑体"/>
        </w:rPr>
        <w:t>代替 GB/T 17713—2011</w:t>
      </w:r>
      <w:r>
        <w:rPr>
          <w:rFonts w:hAnsi="黑体"/>
        </w:rPr>
        <w:fldChar w:fldCharType="end"/>
      </w:r>
      <w:bookmarkEnd w:id="6"/>
    </w:p>
    <w:p>
      <w:pPr>
        <w:spacing w:line="240" w:lineRule="auto"/>
        <w:ind w:left="8080"/>
        <w:rPr>
          <w:rFonts w:ascii="黑体" w:hAnsi="黑体" w:eastAsia="黑体"/>
          <w:kern w:val="0"/>
          <w:sz w:val="52"/>
          <w:szCs w:val="20"/>
        </w:rPr>
      </w:pPr>
      <w:r>
        <w:rPr>
          <w:rFonts w:ascii="黑体" w:hAnsi="黑体" w:eastAsia="黑体"/>
          <w:kern w:val="0"/>
          <w:sz w:val="52"/>
          <w:szCs w:val="20"/>
        </w:rPr>
        <mc:AlternateContent>
          <mc:Choice Requires="wps">
            <w:drawing>
              <wp:anchor distT="0" distB="0" distL="114300" distR="114300" simplePos="0" relativeHeight="251630592"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30592;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r>
        <w:rPr>
          <w:rFonts w:ascii="黑体" w:hAnsi="黑体" w:eastAsia="黑体"/>
          <w:kern w:val="0"/>
          <w:sz w:val="52"/>
          <w:szCs w:val="20"/>
        </w:rPr>
        <w:drawing>
          <wp:anchor distT="0" distB="0" distL="114300" distR="114300" simplePos="0" relativeHeight="251629568" behindDoc="0" locked="0" layoutInCell="1" allowOverlap="0">
            <wp:simplePos x="0" y="0"/>
            <wp:positionH relativeFrom="page">
              <wp:posOffset>5166360</wp:posOffset>
            </wp:positionH>
            <wp:positionV relativeFrom="page">
              <wp:posOffset>466725</wp:posOffset>
            </wp:positionV>
            <wp:extent cx="1447165" cy="734695"/>
            <wp:effectExtent l="0" t="0" r="635" b="889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447200" cy="734400"/>
                    </a:xfrm>
                    <a:prstGeom prst="rect">
                      <a:avLst/>
                    </a:prstGeom>
                    <a:noFill/>
                    <a:ln>
                      <a:noFill/>
                    </a:ln>
                  </pic:spPr>
                </pic:pic>
              </a:graphicData>
            </a:graphic>
          </wp:anchor>
        </w:drawing>
      </w:r>
    </w:p>
    <w:p>
      <w:pPr>
        <w:pStyle w:val="61"/>
        <w:framePr w:w="9639" w:h="6976" w:hRule="exact" w:hSpace="0" w:vSpace="0" w:hAnchor="page" w:y="6408"/>
        <w:jc w:val="center"/>
        <w:rPr>
          <w:rFonts w:ascii="黑体" w:hAnsi="黑体" w:eastAsia="黑体"/>
          <w:b w:val="0"/>
          <w:bCs w:val="0"/>
          <w:w w:val="100"/>
        </w:rPr>
      </w:pPr>
    </w:p>
    <w:p>
      <w:pPr>
        <w:pStyle w:val="208"/>
        <w:framePr w:h="6974" w:hRule="exact" w:x="1419" w:anchorLock="1"/>
      </w:pPr>
      <w:r>
        <w:fldChar w:fldCharType="begin">
          <w:ffData>
            <w:name w:val="CSTD_NAME"/>
            <w:enabled/>
            <w:calcOnExit w:val="0"/>
            <w:textInput>
              <w:default w:val="点击此处添加标准名称"/>
            </w:textInput>
          </w:ffData>
        </w:fldChar>
      </w:r>
      <w:bookmarkStart w:id="7" w:name="CSTD_NAME"/>
      <w:r>
        <w:instrText xml:space="preserve"> FORMTEXT </w:instrText>
      </w:r>
      <w:r>
        <w:fldChar w:fldCharType="separate"/>
      </w:r>
      <w:r>
        <w:t>吸油烟机及其他烹饪烟气吸排装置</w:t>
      </w:r>
      <w:r>
        <w:fldChar w:fldCharType="end"/>
      </w:r>
      <w:bookmarkEnd w:id="7"/>
    </w:p>
    <w:p>
      <w:pPr>
        <w:framePr w:w="9639" w:h="6974" w:hRule="exact" w:wrap="around" w:vAnchor="page" w:hAnchor="page" w:x="1419" w:y="6408" w:anchorLock="1"/>
        <w:ind w:left="-1418"/>
      </w:pPr>
    </w:p>
    <w:p>
      <w:pPr>
        <w:pStyle w:val="136"/>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8" w:name="ESTD_NAME"/>
      <w:r>
        <w:rPr>
          <w:rFonts w:eastAsia="黑体"/>
          <w:szCs w:val="28"/>
        </w:rPr>
        <w:instrText xml:space="preserve"> FORMTEXT </w:instrText>
      </w:r>
      <w:r>
        <w:rPr>
          <w:rFonts w:eastAsia="黑体"/>
          <w:szCs w:val="28"/>
        </w:rPr>
        <w:fldChar w:fldCharType="separate"/>
      </w:r>
      <w:r>
        <w:rPr>
          <w:rFonts w:eastAsia="黑体"/>
          <w:szCs w:val="28"/>
        </w:rPr>
        <w:t>Range hood and other cooking fume extractors</w:t>
      </w:r>
      <w:r>
        <w:rPr>
          <w:rFonts w:eastAsia="黑体"/>
          <w:szCs w:val="28"/>
        </w:rPr>
        <w:fldChar w:fldCharType="end"/>
      </w:r>
      <w:bookmarkEnd w:id="8"/>
    </w:p>
    <w:p>
      <w:pPr>
        <w:framePr w:w="9639" w:h="6974" w:hRule="exact" w:wrap="around" w:vAnchor="page" w:hAnchor="page" w:x="1419" w:y="6408" w:anchorLock="1"/>
        <w:spacing w:line="760" w:lineRule="exact"/>
        <w:ind w:left="-1418"/>
      </w:pPr>
    </w:p>
    <w:p>
      <w:pPr>
        <w:pStyle w:val="136"/>
        <w:framePr w:w="9639" w:h="6974" w:hRule="exact" w:wrap="around" w:vAnchor="page" w:hAnchor="page" w:x="1419" w:y="6408" w:anchorLock="1"/>
        <w:textAlignment w:val="bottom"/>
        <w:rPr>
          <w:rFonts w:eastAsia="黑体"/>
          <w:szCs w:val="28"/>
        </w:rPr>
      </w:pPr>
      <w:r>
        <w:rPr>
          <w:rFonts w:eastAsia="黑体"/>
          <w:szCs w:val="28"/>
        </w:rPr>
        <w:fldChar w:fldCharType="begin">
          <w:ffData>
            <w:name w:val="IN_STD_CODE"/>
            <w:enabled/>
            <w:calcOnExit w:val="0"/>
            <w:textInput>
              <w:default w:val="(点击此处添加与国际标准一致性程度的标识)"/>
            </w:textInput>
          </w:ffData>
        </w:fldChar>
      </w:r>
      <w:bookmarkStart w:id="9" w:name="IN_STD_CODE"/>
      <w:r>
        <w:rPr>
          <w:rFonts w:eastAsia="黑体"/>
          <w:szCs w:val="28"/>
        </w:rPr>
        <w:instrText xml:space="preserve"> FORMTEXT </w:instrText>
      </w:r>
      <w:r>
        <w:rPr>
          <w:rFonts w:eastAsia="黑体"/>
          <w:szCs w:val="28"/>
        </w:rPr>
        <w:fldChar w:fldCharType="separate"/>
      </w:r>
      <w:r>
        <w:rPr>
          <w:rFonts w:hint="eastAsia" w:eastAsia="黑体"/>
          <w:szCs w:val="28"/>
        </w:rPr>
        <w:t>(点击此处添加与国际标准一致性程度的标识)</w:t>
      </w:r>
      <w:r>
        <w:rPr>
          <w:rFonts w:eastAsia="黑体"/>
          <w:szCs w:val="28"/>
        </w:rPr>
        <w:fldChar w:fldCharType="end"/>
      </w:r>
      <w:bookmarkEnd w:id="9"/>
    </w:p>
    <w:p>
      <w:pPr>
        <w:pStyle w:val="136"/>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0" w:name="下拉1"/>
      <w:r>
        <w:rPr>
          <w:sz w:val="24"/>
          <w:szCs w:val="28"/>
        </w:rPr>
        <w:instrText xml:space="preserve"> FORMDROPDOWN </w:instrText>
      </w:r>
      <w:r>
        <w:rPr>
          <w:sz w:val="24"/>
          <w:szCs w:val="28"/>
        </w:rPr>
        <w:fldChar w:fldCharType="separate"/>
      </w:r>
      <w:r>
        <w:rPr>
          <w:sz w:val="24"/>
          <w:szCs w:val="28"/>
        </w:rPr>
        <w:fldChar w:fldCharType="end"/>
      </w:r>
      <w:bookmarkEnd w:id="10"/>
    </w:p>
    <w:p>
      <w:pPr>
        <w:pStyle w:val="136"/>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1" w:name="下拉2"/>
      <w:r>
        <w:rPr>
          <w:b/>
          <w:sz w:val="21"/>
          <w:szCs w:val="28"/>
        </w:rPr>
        <w:instrText xml:space="preserve"> FORMDROPDOWN </w:instrText>
      </w:r>
      <w:r>
        <w:rPr>
          <w:b/>
          <w:sz w:val="21"/>
          <w:szCs w:val="28"/>
        </w:rPr>
        <w:fldChar w:fldCharType="separate"/>
      </w:r>
      <w:r>
        <w:rPr>
          <w:b/>
          <w:sz w:val="21"/>
          <w:szCs w:val="28"/>
        </w:rPr>
        <w:fldChar w:fldCharType="end"/>
      </w:r>
      <w:bookmarkEnd w:id="11"/>
    </w:p>
    <w:p>
      <w:pPr>
        <w:pStyle w:val="204"/>
        <w:framePr w:y="14176"/>
      </w:pPr>
      <w:r>
        <w:rPr>
          <w:rFonts w:ascii="黑体"/>
        </w:rPr>
        <w:fldChar w:fldCharType="begin">
          <w:ffData>
            <w:name w:val="PLSH_DATE_Y"/>
            <w:enabled/>
            <w:calcOnExit w:val="0"/>
            <w:textInput>
              <w:default w:val="XXXX"/>
              <w:maxLength w:val="4"/>
            </w:textInput>
          </w:ffData>
        </w:fldChar>
      </w:r>
      <w:bookmarkStart w:id="12"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2"/>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3"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3"/>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4"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rPr>
          <w:rFonts w:hint="eastAsia"/>
        </w:rPr>
        <w:t>发布</w:t>
      </w:r>
    </w:p>
    <w:p>
      <w:pPr>
        <w:pStyle w:val="205"/>
        <w:framePr w:y="14176"/>
      </w:pPr>
      <w:r>
        <w:rPr>
          <w:rFonts w:ascii="黑体"/>
        </w:rPr>
        <w:fldChar w:fldCharType="begin">
          <w:ffData>
            <w:name w:val="CROT_DATE_Y"/>
            <w:enabled/>
            <w:calcOnExit w:val="0"/>
            <w:textInput>
              <w:default w:val="XXXX"/>
              <w:maxLength w:val="4"/>
            </w:textInput>
          </w:ffData>
        </w:fldChar>
      </w:r>
      <w:bookmarkStart w:id="15"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5"/>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6"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7"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rPr>
          <w:rFonts w:hint="eastAsia"/>
        </w:rPr>
        <w:t>实施</w:t>
      </w:r>
    </w:p>
    <w:p>
      <w:pPr>
        <w:rPr>
          <w:rFonts w:ascii="宋体" w:hAnsi="宋体"/>
          <w:sz w:val="28"/>
          <w:szCs w:val="28"/>
        </w:rPr>
        <w:sectPr>
          <w:headerReference r:id="rId4" w:type="first"/>
          <w:footerReference r:id="rId6" w:type="first"/>
          <w:headerReference r:id="rId3" w:type="default"/>
          <w:footerReference r:id="rId5"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w:drawing>
          <wp:anchor distT="0" distB="0" distL="114300" distR="114300" simplePos="0" relativeHeight="251628544" behindDoc="0" locked="0" layoutInCell="1" allowOverlap="1">
            <wp:simplePos x="0" y="0"/>
            <wp:positionH relativeFrom="column">
              <wp:posOffset>1610360</wp:posOffset>
            </wp:positionH>
            <wp:positionV relativeFrom="paragraph">
              <wp:posOffset>8245475</wp:posOffset>
            </wp:positionV>
            <wp:extent cx="2869565" cy="546100"/>
            <wp:effectExtent l="0" t="0" r="0" b="698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69324" cy="545919"/>
                    </a:xfrm>
                    <a:prstGeom prst="rect">
                      <a:avLst/>
                    </a:prstGeom>
                  </pic:spPr>
                </pic:pic>
              </a:graphicData>
            </a:graphic>
          </wp:anchor>
        </w:drawing>
      </w:r>
      <w:r>
        <w:rPr>
          <w:rFonts w:hint="eastAsia" w:ascii="宋体" w:hAnsi="宋体"/>
          <w:sz w:val="28"/>
          <w:szCs w:val="28"/>
        </w:rPr>
        <mc:AlternateContent>
          <mc:Choice Requires="wps">
            <w:drawing>
              <wp:anchor distT="0" distB="0" distL="114300" distR="114300" simplePos="0" relativeHeight="251627520"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27520;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r>
        <w:rPr>
          <w:rFonts w:hint="eastAsia" w:ascii="宋体" w:hAnsi="宋体"/>
          <w:sz w:val="28"/>
          <w:szCs w:val="28"/>
        </w:rPr>
        <w:t>`</w:t>
      </w:r>
    </w:p>
    <w:p>
      <w:pPr>
        <w:pStyle w:val="102"/>
        <w:spacing w:after="468"/>
      </w:pPr>
      <w:r>
        <w:rPr>
          <w:rFonts w:hint="eastAsia"/>
          <w:spacing w:val="320"/>
        </w:rPr>
        <w:t>目</w:t>
      </w:r>
      <w:r>
        <w:rPr>
          <w:rFonts w:hint="eastAsia"/>
        </w:rPr>
        <w:t>次</w:t>
      </w:r>
    </w:p>
    <w:p>
      <w:pPr>
        <w:pStyle w:val="24"/>
        <w:tabs>
          <w:tab w:val="right" w:leader="dot" w:pos="9344"/>
        </w:tabs>
        <w:rPr>
          <w:rFonts w:asciiTheme="minorHAnsi" w:hAnsiTheme="minorHAnsi" w:eastAsiaTheme="minorEastAsia" w:cstheme="minorBidi"/>
          <w:szCs w:val="22"/>
        </w:rPr>
      </w:pPr>
      <w:r>
        <w:fldChar w:fldCharType="begin"/>
      </w:r>
      <w:r>
        <w:instrText xml:space="preserve"> TOC \o "1-1" \h </w:instrText>
      </w:r>
      <w:r>
        <w:fldChar w:fldCharType="separate"/>
      </w:r>
      <w:r>
        <w:fldChar w:fldCharType="begin"/>
      </w:r>
      <w:r>
        <w:instrText xml:space="preserve"> HYPERLINK \l "_Toc67430089" </w:instrText>
      </w:r>
      <w:r>
        <w:fldChar w:fldCharType="separate"/>
      </w:r>
      <w:r>
        <w:rPr>
          <w:rStyle w:val="42"/>
          <w:rFonts w:hint="eastAsia"/>
        </w:rPr>
        <w:t>前言</w:t>
      </w:r>
      <w:r>
        <w:tab/>
      </w:r>
      <w:r>
        <w:fldChar w:fldCharType="begin"/>
      </w:r>
      <w:r>
        <w:instrText xml:space="preserve"> PAGEREF _Toc67430089 \h </w:instrText>
      </w:r>
      <w:r>
        <w:fldChar w:fldCharType="separate"/>
      </w:r>
      <w:r>
        <w:t>II</w:t>
      </w:r>
      <w:r>
        <w:fldChar w:fldCharType="end"/>
      </w:r>
      <w:r>
        <w:fldChar w:fldCharType="end"/>
      </w:r>
    </w:p>
    <w:p>
      <w:pPr>
        <w:pStyle w:val="24"/>
        <w:tabs>
          <w:tab w:val="right" w:leader="dot" w:pos="9344"/>
        </w:tabs>
        <w:rPr>
          <w:rFonts w:asciiTheme="minorHAnsi" w:hAnsiTheme="minorHAnsi" w:eastAsiaTheme="minorEastAsia" w:cstheme="minorBidi"/>
          <w:szCs w:val="22"/>
        </w:rPr>
      </w:pPr>
      <w:r>
        <w:fldChar w:fldCharType="begin"/>
      </w:r>
      <w:r>
        <w:instrText xml:space="preserve"> HYPERLINK \l "_Toc67430090" </w:instrText>
      </w:r>
      <w:r>
        <w:fldChar w:fldCharType="separate"/>
      </w:r>
      <w:r>
        <w:rPr>
          <w:rStyle w:val="42"/>
        </w:rPr>
        <w:t xml:space="preserve">1 </w:t>
      </w:r>
      <w:r>
        <w:rPr>
          <w:rStyle w:val="42"/>
          <w:rFonts w:hint="eastAsia"/>
        </w:rPr>
        <w:t xml:space="preserve"> 范围</w:t>
      </w:r>
      <w:r>
        <w:tab/>
      </w:r>
      <w:r>
        <w:fldChar w:fldCharType="begin"/>
      </w:r>
      <w:r>
        <w:instrText xml:space="preserve"> PAGEREF _Toc67430090 \h </w:instrText>
      </w:r>
      <w:r>
        <w:fldChar w:fldCharType="separate"/>
      </w:r>
      <w:r>
        <w:t>1</w:t>
      </w:r>
      <w:r>
        <w:fldChar w:fldCharType="end"/>
      </w:r>
      <w:r>
        <w:fldChar w:fldCharType="end"/>
      </w:r>
    </w:p>
    <w:p>
      <w:pPr>
        <w:pStyle w:val="24"/>
        <w:tabs>
          <w:tab w:val="right" w:leader="dot" w:pos="9344"/>
        </w:tabs>
        <w:rPr>
          <w:rFonts w:asciiTheme="minorHAnsi" w:hAnsiTheme="minorHAnsi" w:eastAsiaTheme="minorEastAsia" w:cstheme="minorBidi"/>
          <w:szCs w:val="22"/>
        </w:rPr>
      </w:pPr>
      <w:r>
        <w:fldChar w:fldCharType="begin"/>
      </w:r>
      <w:r>
        <w:instrText xml:space="preserve"> HYPERLINK \l "_Toc67430091" </w:instrText>
      </w:r>
      <w:r>
        <w:fldChar w:fldCharType="separate"/>
      </w:r>
      <w:r>
        <w:rPr>
          <w:rStyle w:val="42"/>
        </w:rPr>
        <w:t xml:space="preserve">2 </w:t>
      </w:r>
      <w:r>
        <w:rPr>
          <w:rStyle w:val="42"/>
          <w:rFonts w:hint="eastAsia"/>
        </w:rPr>
        <w:t xml:space="preserve"> 规范性引用文件</w:t>
      </w:r>
      <w:r>
        <w:tab/>
      </w:r>
      <w:r>
        <w:fldChar w:fldCharType="begin"/>
      </w:r>
      <w:r>
        <w:instrText xml:space="preserve"> PAGEREF _Toc67430091 \h </w:instrText>
      </w:r>
      <w:r>
        <w:fldChar w:fldCharType="separate"/>
      </w:r>
      <w:r>
        <w:t>1</w:t>
      </w:r>
      <w:r>
        <w:fldChar w:fldCharType="end"/>
      </w:r>
      <w:r>
        <w:fldChar w:fldCharType="end"/>
      </w:r>
    </w:p>
    <w:p>
      <w:pPr>
        <w:pStyle w:val="24"/>
        <w:tabs>
          <w:tab w:val="right" w:leader="dot" w:pos="9344"/>
        </w:tabs>
        <w:rPr>
          <w:rFonts w:asciiTheme="minorHAnsi" w:hAnsiTheme="minorHAnsi" w:eastAsiaTheme="minorEastAsia" w:cstheme="minorBidi"/>
          <w:szCs w:val="22"/>
        </w:rPr>
      </w:pPr>
      <w:r>
        <w:fldChar w:fldCharType="begin"/>
      </w:r>
      <w:r>
        <w:instrText xml:space="preserve"> HYPERLINK \l "_Toc67430092" </w:instrText>
      </w:r>
      <w:r>
        <w:fldChar w:fldCharType="separate"/>
      </w:r>
      <w:r>
        <w:rPr>
          <w:rStyle w:val="42"/>
        </w:rPr>
        <w:t xml:space="preserve">3 </w:t>
      </w:r>
      <w:r>
        <w:rPr>
          <w:rStyle w:val="42"/>
          <w:rFonts w:hint="eastAsia"/>
        </w:rPr>
        <w:t xml:space="preserve"> 术语和定义</w:t>
      </w:r>
      <w:r>
        <w:tab/>
      </w:r>
      <w:r>
        <w:fldChar w:fldCharType="begin"/>
      </w:r>
      <w:r>
        <w:instrText xml:space="preserve"> PAGEREF _Toc67430092 \h </w:instrText>
      </w:r>
      <w:r>
        <w:fldChar w:fldCharType="separate"/>
      </w:r>
      <w:r>
        <w:t>1</w:t>
      </w:r>
      <w:r>
        <w:fldChar w:fldCharType="end"/>
      </w:r>
      <w:r>
        <w:fldChar w:fldCharType="end"/>
      </w:r>
    </w:p>
    <w:p>
      <w:pPr>
        <w:pStyle w:val="24"/>
        <w:tabs>
          <w:tab w:val="right" w:leader="dot" w:pos="9344"/>
        </w:tabs>
        <w:rPr>
          <w:rFonts w:asciiTheme="minorHAnsi" w:hAnsiTheme="minorHAnsi" w:eastAsiaTheme="minorEastAsia" w:cstheme="minorBidi"/>
          <w:szCs w:val="22"/>
        </w:rPr>
      </w:pPr>
      <w:r>
        <w:fldChar w:fldCharType="begin"/>
      </w:r>
      <w:r>
        <w:instrText xml:space="preserve"> HYPERLINK \l "_Toc67430093" </w:instrText>
      </w:r>
      <w:r>
        <w:fldChar w:fldCharType="separate"/>
      </w:r>
      <w:r>
        <w:rPr>
          <w:rStyle w:val="42"/>
        </w:rPr>
        <w:t xml:space="preserve">4 </w:t>
      </w:r>
      <w:r>
        <w:rPr>
          <w:rStyle w:val="42"/>
          <w:rFonts w:hint="eastAsia"/>
        </w:rPr>
        <w:t xml:space="preserve"> 分类和命名</w:t>
      </w:r>
      <w:r>
        <w:tab/>
      </w:r>
      <w:r>
        <w:fldChar w:fldCharType="begin"/>
      </w:r>
      <w:r>
        <w:instrText xml:space="preserve"> PAGEREF _Toc67430093 \h </w:instrText>
      </w:r>
      <w:r>
        <w:fldChar w:fldCharType="separate"/>
      </w:r>
      <w:r>
        <w:t>3</w:t>
      </w:r>
      <w:r>
        <w:fldChar w:fldCharType="end"/>
      </w:r>
      <w:r>
        <w:fldChar w:fldCharType="end"/>
      </w:r>
    </w:p>
    <w:p>
      <w:pPr>
        <w:pStyle w:val="24"/>
        <w:tabs>
          <w:tab w:val="right" w:leader="dot" w:pos="9344"/>
        </w:tabs>
        <w:rPr>
          <w:rFonts w:asciiTheme="minorHAnsi" w:hAnsiTheme="minorHAnsi" w:eastAsiaTheme="minorEastAsia" w:cstheme="minorBidi"/>
          <w:szCs w:val="22"/>
        </w:rPr>
      </w:pPr>
      <w:r>
        <w:fldChar w:fldCharType="begin"/>
      </w:r>
      <w:r>
        <w:instrText xml:space="preserve"> HYPERLINK \l "_Toc67430094" </w:instrText>
      </w:r>
      <w:r>
        <w:fldChar w:fldCharType="separate"/>
      </w:r>
      <w:r>
        <w:rPr>
          <w:rStyle w:val="42"/>
        </w:rPr>
        <w:t xml:space="preserve">5 </w:t>
      </w:r>
      <w:r>
        <w:rPr>
          <w:rStyle w:val="42"/>
          <w:rFonts w:hint="eastAsia"/>
        </w:rPr>
        <w:t xml:space="preserve"> 要求</w:t>
      </w:r>
      <w:r>
        <w:tab/>
      </w:r>
      <w:r>
        <w:fldChar w:fldCharType="begin"/>
      </w:r>
      <w:r>
        <w:instrText xml:space="preserve"> PAGEREF _Toc67430094 \h </w:instrText>
      </w:r>
      <w:r>
        <w:fldChar w:fldCharType="separate"/>
      </w:r>
      <w:r>
        <w:t>4</w:t>
      </w:r>
      <w:r>
        <w:fldChar w:fldCharType="end"/>
      </w:r>
      <w:r>
        <w:fldChar w:fldCharType="end"/>
      </w:r>
    </w:p>
    <w:p>
      <w:pPr>
        <w:pStyle w:val="24"/>
        <w:tabs>
          <w:tab w:val="right" w:leader="dot" w:pos="9344"/>
        </w:tabs>
        <w:rPr>
          <w:rFonts w:asciiTheme="minorHAnsi" w:hAnsiTheme="minorHAnsi" w:eastAsiaTheme="minorEastAsia" w:cstheme="minorBidi"/>
          <w:szCs w:val="22"/>
        </w:rPr>
      </w:pPr>
      <w:r>
        <w:fldChar w:fldCharType="begin"/>
      </w:r>
      <w:r>
        <w:instrText xml:space="preserve"> HYPERLINK \l "_Toc67430095" </w:instrText>
      </w:r>
      <w:r>
        <w:fldChar w:fldCharType="separate"/>
      </w:r>
      <w:r>
        <w:rPr>
          <w:rStyle w:val="42"/>
        </w:rPr>
        <w:t xml:space="preserve">6 </w:t>
      </w:r>
      <w:r>
        <w:rPr>
          <w:rStyle w:val="42"/>
          <w:rFonts w:hint="eastAsia"/>
        </w:rPr>
        <w:t xml:space="preserve"> 试验方法</w:t>
      </w:r>
      <w:r>
        <w:tab/>
      </w:r>
      <w:r>
        <w:fldChar w:fldCharType="begin"/>
      </w:r>
      <w:r>
        <w:instrText xml:space="preserve"> PAGEREF _Toc67430095 \h </w:instrText>
      </w:r>
      <w:r>
        <w:fldChar w:fldCharType="separate"/>
      </w:r>
      <w:r>
        <w:t>6</w:t>
      </w:r>
      <w:r>
        <w:fldChar w:fldCharType="end"/>
      </w:r>
      <w:r>
        <w:fldChar w:fldCharType="end"/>
      </w:r>
    </w:p>
    <w:p>
      <w:pPr>
        <w:pStyle w:val="24"/>
        <w:tabs>
          <w:tab w:val="right" w:leader="dot" w:pos="9344"/>
        </w:tabs>
        <w:rPr>
          <w:rFonts w:asciiTheme="minorHAnsi" w:hAnsiTheme="minorHAnsi" w:eastAsiaTheme="minorEastAsia" w:cstheme="minorBidi"/>
          <w:szCs w:val="22"/>
        </w:rPr>
      </w:pPr>
      <w:r>
        <w:fldChar w:fldCharType="begin"/>
      </w:r>
      <w:r>
        <w:instrText xml:space="preserve"> HYPERLINK \l "_Toc67430096" </w:instrText>
      </w:r>
      <w:r>
        <w:fldChar w:fldCharType="separate"/>
      </w:r>
      <w:r>
        <w:rPr>
          <w:rStyle w:val="42"/>
        </w:rPr>
        <w:t xml:space="preserve">7 </w:t>
      </w:r>
      <w:r>
        <w:rPr>
          <w:rStyle w:val="42"/>
          <w:rFonts w:hint="eastAsia"/>
        </w:rPr>
        <w:t xml:space="preserve"> 检验规则</w:t>
      </w:r>
      <w:r>
        <w:tab/>
      </w:r>
      <w:r>
        <w:fldChar w:fldCharType="begin"/>
      </w:r>
      <w:r>
        <w:instrText xml:space="preserve"> PAGEREF _Toc67430096 \h </w:instrText>
      </w:r>
      <w:r>
        <w:fldChar w:fldCharType="separate"/>
      </w:r>
      <w:r>
        <w:t>7</w:t>
      </w:r>
      <w:r>
        <w:fldChar w:fldCharType="end"/>
      </w:r>
      <w:r>
        <w:fldChar w:fldCharType="end"/>
      </w:r>
    </w:p>
    <w:p>
      <w:pPr>
        <w:pStyle w:val="24"/>
        <w:tabs>
          <w:tab w:val="right" w:leader="dot" w:pos="9344"/>
        </w:tabs>
        <w:rPr>
          <w:rFonts w:asciiTheme="minorHAnsi" w:hAnsiTheme="minorHAnsi" w:eastAsiaTheme="minorEastAsia" w:cstheme="minorBidi"/>
          <w:szCs w:val="22"/>
        </w:rPr>
      </w:pPr>
      <w:r>
        <w:fldChar w:fldCharType="begin"/>
      </w:r>
      <w:r>
        <w:instrText xml:space="preserve"> HYPERLINK \l "_Toc67430097" </w:instrText>
      </w:r>
      <w:r>
        <w:fldChar w:fldCharType="separate"/>
      </w:r>
      <w:r>
        <w:rPr>
          <w:rStyle w:val="42"/>
        </w:rPr>
        <w:t xml:space="preserve">8 </w:t>
      </w:r>
      <w:r>
        <w:rPr>
          <w:rStyle w:val="42"/>
          <w:rFonts w:hint="eastAsia"/>
        </w:rPr>
        <w:t xml:space="preserve"> 标志、包装、运输和贮存</w:t>
      </w:r>
      <w:r>
        <w:tab/>
      </w:r>
      <w:r>
        <w:fldChar w:fldCharType="begin"/>
      </w:r>
      <w:r>
        <w:instrText xml:space="preserve"> PAGEREF _Toc67430097 \h </w:instrText>
      </w:r>
      <w:r>
        <w:fldChar w:fldCharType="separate"/>
      </w:r>
      <w:r>
        <w:t>9</w:t>
      </w:r>
      <w:r>
        <w:fldChar w:fldCharType="end"/>
      </w:r>
      <w:r>
        <w:fldChar w:fldCharType="end"/>
      </w:r>
    </w:p>
    <w:p>
      <w:pPr>
        <w:pStyle w:val="24"/>
        <w:tabs>
          <w:tab w:val="right" w:leader="dot" w:pos="9344"/>
        </w:tabs>
        <w:rPr>
          <w:rFonts w:asciiTheme="minorHAnsi" w:hAnsiTheme="minorHAnsi" w:eastAsiaTheme="minorEastAsia" w:cstheme="minorBidi"/>
          <w:szCs w:val="22"/>
        </w:rPr>
      </w:pPr>
      <w:r>
        <w:fldChar w:fldCharType="begin"/>
      </w:r>
      <w:r>
        <w:instrText xml:space="preserve"> HYPERLINK \l "_Toc67430098" </w:instrText>
      </w:r>
      <w:r>
        <w:fldChar w:fldCharType="separate"/>
      </w:r>
      <w:r>
        <w:rPr>
          <w:rStyle w:val="42"/>
          <w:rFonts w:hint="eastAsia"/>
        </w:rPr>
        <w:t>附录A（规范性）</w:t>
      </w:r>
      <w:r>
        <w:rPr>
          <w:rStyle w:val="42"/>
        </w:rPr>
        <w:t xml:space="preserve">  </w:t>
      </w:r>
      <w:r>
        <w:rPr>
          <w:rStyle w:val="42"/>
          <w:rFonts w:hint="eastAsia"/>
        </w:rPr>
        <w:t>空气性能试验方法</w:t>
      </w:r>
      <w:r>
        <w:tab/>
      </w:r>
      <w:r>
        <w:fldChar w:fldCharType="begin"/>
      </w:r>
      <w:r>
        <w:instrText xml:space="preserve"> PAGEREF _Toc67430098 \h </w:instrText>
      </w:r>
      <w:r>
        <w:fldChar w:fldCharType="separate"/>
      </w:r>
      <w:r>
        <w:t>11</w:t>
      </w:r>
      <w:r>
        <w:fldChar w:fldCharType="end"/>
      </w:r>
      <w:r>
        <w:fldChar w:fldCharType="end"/>
      </w:r>
    </w:p>
    <w:p>
      <w:pPr>
        <w:pStyle w:val="24"/>
        <w:tabs>
          <w:tab w:val="right" w:leader="dot" w:pos="9344"/>
        </w:tabs>
        <w:rPr>
          <w:rFonts w:asciiTheme="minorHAnsi" w:hAnsiTheme="minorHAnsi" w:eastAsiaTheme="minorEastAsia" w:cstheme="minorBidi"/>
          <w:szCs w:val="22"/>
        </w:rPr>
      </w:pPr>
      <w:r>
        <w:fldChar w:fldCharType="begin"/>
      </w:r>
      <w:r>
        <w:instrText xml:space="preserve"> HYPERLINK \l "_Toc67430099" </w:instrText>
      </w:r>
      <w:r>
        <w:fldChar w:fldCharType="separate"/>
      </w:r>
      <w:r>
        <w:rPr>
          <w:rStyle w:val="42"/>
          <w:rFonts w:hint="eastAsia"/>
        </w:rPr>
        <w:t>附录B（规范性）</w:t>
      </w:r>
      <w:r>
        <w:rPr>
          <w:rStyle w:val="42"/>
        </w:rPr>
        <w:t xml:space="preserve">  </w:t>
      </w:r>
      <w:r>
        <w:rPr>
          <w:rStyle w:val="42"/>
          <w:rFonts w:hint="eastAsia"/>
        </w:rPr>
        <w:t>半消声室噪声试验方法</w:t>
      </w:r>
      <w:r>
        <w:tab/>
      </w:r>
      <w:r>
        <w:fldChar w:fldCharType="begin"/>
      </w:r>
      <w:r>
        <w:instrText xml:space="preserve"> PAGEREF _Toc67430099 \h </w:instrText>
      </w:r>
      <w:r>
        <w:fldChar w:fldCharType="separate"/>
      </w:r>
      <w:r>
        <w:t>17</w:t>
      </w:r>
      <w:r>
        <w:fldChar w:fldCharType="end"/>
      </w:r>
      <w:r>
        <w:fldChar w:fldCharType="end"/>
      </w:r>
    </w:p>
    <w:p>
      <w:pPr>
        <w:pStyle w:val="24"/>
        <w:tabs>
          <w:tab w:val="right" w:leader="dot" w:pos="9344"/>
        </w:tabs>
        <w:rPr>
          <w:rFonts w:asciiTheme="minorHAnsi" w:hAnsiTheme="minorHAnsi" w:eastAsiaTheme="minorEastAsia" w:cstheme="minorBidi"/>
          <w:szCs w:val="22"/>
        </w:rPr>
      </w:pPr>
      <w:r>
        <w:fldChar w:fldCharType="begin"/>
      </w:r>
      <w:r>
        <w:instrText xml:space="preserve"> HYPERLINK \l "_Toc67430100" </w:instrText>
      </w:r>
      <w:r>
        <w:fldChar w:fldCharType="separate"/>
      </w:r>
      <w:r>
        <w:rPr>
          <w:rStyle w:val="42"/>
          <w:rFonts w:hint="eastAsia"/>
        </w:rPr>
        <w:t>附录C（规范性）</w:t>
      </w:r>
      <w:r>
        <w:rPr>
          <w:rStyle w:val="42"/>
        </w:rPr>
        <w:t xml:space="preserve">  </w:t>
      </w:r>
      <w:r>
        <w:rPr>
          <w:rStyle w:val="42"/>
          <w:rFonts w:hint="eastAsia"/>
        </w:rPr>
        <w:t>工作噪声试验方法</w:t>
      </w:r>
      <w:r>
        <w:tab/>
      </w:r>
      <w:r>
        <w:fldChar w:fldCharType="begin"/>
      </w:r>
      <w:r>
        <w:instrText xml:space="preserve"> PAGEREF _Toc67430100 \h </w:instrText>
      </w:r>
      <w:r>
        <w:fldChar w:fldCharType="separate"/>
      </w:r>
      <w:r>
        <w:t>22</w:t>
      </w:r>
      <w:r>
        <w:fldChar w:fldCharType="end"/>
      </w:r>
      <w:r>
        <w:fldChar w:fldCharType="end"/>
      </w:r>
    </w:p>
    <w:p>
      <w:pPr>
        <w:pStyle w:val="24"/>
        <w:tabs>
          <w:tab w:val="right" w:leader="dot" w:pos="9344"/>
        </w:tabs>
        <w:rPr>
          <w:rFonts w:asciiTheme="minorHAnsi" w:hAnsiTheme="minorHAnsi" w:eastAsiaTheme="minorEastAsia" w:cstheme="minorBidi"/>
          <w:szCs w:val="22"/>
        </w:rPr>
      </w:pPr>
      <w:r>
        <w:fldChar w:fldCharType="begin"/>
      </w:r>
      <w:r>
        <w:instrText xml:space="preserve"> HYPERLINK \l "_Toc67430101" </w:instrText>
      </w:r>
      <w:r>
        <w:fldChar w:fldCharType="separate"/>
      </w:r>
      <w:r>
        <w:rPr>
          <w:rStyle w:val="42"/>
          <w:rFonts w:hint="eastAsia"/>
        </w:rPr>
        <w:t>附录D（资料性）</w:t>
      </w:r>
      <w:r>
        <w:rPr>
          <w:rStyle w:val="42"/>
        </w:rPr>
        <w:t xml:space="preserve">  </w:t>
      </w:r>
      <w:r>
        <w:rPr>
          <w:rStyle w:val="42"/>
          <w:rFonts w:hint="eastAsia"/>
        </w:rPr>
        <w:t>照明灯照度试验方法</w:t>
      </w:r>
      <w:r>
        <w:tab/>
      </w:r>
      <w:r>
        <w:fldChar w:fldCharType="begin"/>
      </w:r>
      <w:r>
        <w:instrText xml:space="preserve"> PAGEREF _Toc67430101 \h </w:instrText>
      </w:r>
      <w:r>
        <w:fldChar w:fldCharType="separate"/>
      </w:r>
      <w:r>
        <w:t>25</w:t>
      </w:r>
      <w:r>
        <w:fldChar w:fldCharType="end"/>
      </w:r>
      <w:r>
        <w:fldChar w:fldCharType="end"/>
      </w:r>
    </w:p>
    <w:p>
      <w:pPr>
        <w:pStyle w:val="24"/>
        <w:tabs>
          <w:tab w:val="right" w:leader="dot" w:pos="9344"/>
        </w:tabs>
        <w:rPr>
          <w:rFonts w:asciiTheme="minorHAnsi" w:hAnsiTheme="minorHAnsi" w:eastAsiaTheme="minorEastAsia" w:cstheme="minorBidi"/>
          <w:szCs w:val="22"/>
        </w:rPr>
      </w:pPr>
      <w:r>
        <w:fldChar w:fldCharType="begin"/>
      </w:r>
      <w:r>
        <w:instrText xml:space="preserve"> HYPERLINK \l "_Toc67430102" </w:instrText>
      </w:r>
      <w:r>
        <w:fldChar w:fldCharType="separate"/>
      </w:r>
      <w:r>
        <w:rPr>
          <w:rStyle w:val="42"/>
          <w:rFonts w:hint="eastAsia"/>
        </w:rPr>
        <w:t>附录E（规范性）</w:t>
      </w:r>
      <w:r>
        <w:rPr>
          <w:rStyle w:val="42"/>
        </w:rPr>
        <w:t xml:space="preserve">  </w:t>
      </w:r>
      <w:r>
        <w:rPr>
          <w:rStyle w:val="42"/>
          <w:rFonts w:hint="eastAsia"/>
        </w:rPr>
        <w:t>气味降低度试验方法</w:t>
      </w:r>
      <w:r>
        <w:tab/>
      </w:r>
      <w:r>
        <w:fldChar w:fldCharType="begin"/>
      </w:r>
      <w:r>
        <w:instrText xml:space="preserve"> PAGEREF _Toc67430102 \h </w:instrText>
      </w:r>
      <w:r>
        <w:fldChar w:fldCharType="separate"/>
      </w:r>
      <w:r>
        <w:t>27</w:t>
      </w:r>
      <w:r>
        <w:fldChar w:fldCharType="end"/>
      </w:r>
      <w:r>
        <w:fldChar w:fldCharType="end"/>
      </w:r>
    </w:p>
    <w:p>
      <w:pPr>
        <w:pStyle w:val="24"/>
        <w:tabs>
          <w:tab w:val="right" w:leader="dot" w:pos="9344"/>
        </w:tabs>
        <w:rPr>
          <w:rFonts w:asciiTheme="minorHAnsi" w:hAnsiTheme="minorHAnsi" w:eastAsiaTheme="minorEastAsia" w:cstheme="minorBidi"/>
          <w:szCs w:val="22"/>
        </w:rPr>
      </w:pPr>
      <w:r>
        <w:fldChar w:fldCharType="begin"/>
      </w:r>
      <w:r>
        <w:instrText xml:space="preserve"> HYPERLINK \l "_Toc67430103" </w:instrText>
      </w:r>
      <w:r>
        <w:fldChar w:fldCharType="separate"/>
      </w:r>
      <w:r>
        <w:rPr>
          <w:rStyle w:val="42"/>
          <w:rFonts w:hint="eastAsia"/>
        </w:rPr>
        <w:t>附录F（规范性）</w:t>
      </w:r>
      <w:r>
        <w:rPr>
          <w:rStyle w:val="42"/>
        </w:rPr>
        <w:t xml:space="preserve">  </w:t>
      </w:r>
      <w:r>
        <w:rPr>
          <w:rStyle w:val="42"/>
          <w:rFonts w:hint="eastAsia"/>
        </w:rPr>
        <w:t>油脂分离度试验方法</w:t>
      </w:r>
      <w:r>
        <w:tab/>
      </w:r>
      <w:r>
        <w:fldChar w:fldCharType="begin"/>
      </w:r>
      <w:r>
        <w:instrText xml:space="preserve"> PAGEREF _Toc67430103 \h </w:instrText>
      </w:r>
      <w:r>
        <w:fldChar w:fldCharType="separate"/>
      </w:r>
      <w:r>
        <w:t>32</w:t>
      </w:r>
      <w:r>
        <w:fldChar w:fldCharType="end"/>
      </w:r>
      <w:r>
        <w:fldChar w:fldCharType="end"/>
      </w:r>
    </w:p>
    <w:p>
      <w:pPr>
        <w:pStyle w:val="102"/>
        <w:spacing w:after="468"/>
        <w:sectPr>
          <w:headerReference r:id="rId7" w:type="default"/>
          <w:footerReference r:id="rId9" w:type="default"/>
          <w:headerReference r:id="rId8" w:type="even"/>
          <w:footerReference r:id="rId10" w:type="even"/>
          <w:pgSz w:w="11906" w:h="16838"/>
          <w:pgMar w:top="1871" w:right="1134" w:bottom="1134" w:left="1134" w:header="1418" w:footer="1134" w:gutter="284"/>
          <w:pgNumType w:fmt="upperRoman" w:start="1"/>
          <w:cols w:space="425" w:num="1"/>
          <w:formProt w:val="0"/>
          <w:docGrid w:type="lines" w:linePitch="312" w:charSpace="0"/>
        </w:sectPr>
      </w:pPr>
      <w:r>
        <w:fldChar w:fldCharType="end"/>
      </w:r>
    </w:p>
    <w:p>
      <w:pPr>
        <w:pStyle w:val="100"/>
        <w:spacing w:after="468"/>
      </w:pPr>
      <w:bookmarkStart w:id="18" w:name="_Toc67430089"/>
      <w:bookmarkStart w:id="19" w:name="BookMark2"/>
      <w:r>
        <w:rPr>
          <w:spacing w:val="320"/>
        </w:rPr>
        <w:t>前</w:t>
      </w:r>
      <w:r>
        <w:t>言</w:t>
      </w:r>
      <w:bookmarkEnd w:id="18"/>
    </w:p>
    <w:p>
      <w:pPr>
        <w:pStyle w:val="67"/>
        <w:ind w:firstLine="420"/>
      </w:pPr>
      <w:r>
        <w:rPr>
          <w:rFonts w:hint="eastAsia"/>
        </w:rPr>
        <w:t>本文件按照GB/T 1.1—2020《标准化工作导则  第1部分：标准化文件的结构和起草规则》的规定起草。</w:t>
      </w:r>
    </w:p>
    <w:p>
      <w:pPr>
        <w:pStyle w:val="67"/>
        <w:ind w:firstLine="420"/>
      </w:pPr>
      <w:r>
        <w:rPr>
          <w:rFonts w:hint="eastAsia"/>
        </w:rPr>
        <w:t>本文件代替GB/T 17713—2011《吸油烟机》，与GB/T 17713—2011相比，除结构调整和编辑性改动外，主要技术变化如下：</w:t>
      </w:r>
    </w:p>
    <w:p>
      <w:pPr>
        <w:pStyle w:val="67"/>
        <w:ind w:firstLine="420"/>
      </w:pPr>
      <w:r>
        <w:rPr>
          <w:rFonts w:hint="eastAsia"/>
        </w:rPr>
        <w:t>——</w:t>
      </w:r>
    </w:p>
    <w:p>
      <w:pPr>
        <w:pStyle w:val="67"/>
        <w:ind w:firstLine="420"/>
      </w:pPr>
      <w:r>
        <w:rPr>
          <w:rFonts w:hint="eastAsia"/>
        </w:rPr>
        <w:t>请注意本文件的某些内容可能涉及专利。本文件的发布机构不承担识别这些专利的责任。</w:t>
      </w:r>
    </w:p>
    <w:p>
      <w:pPr>
        <w:pStyle w:val="67"/>
        <w:ind w:firstLine="420"/>
      </w:pPr>
      <w:r>
        <w:rPr>
          <w:rFonts w:hint="eastAsia"/>
        </w:rPr>
        <w:t>本文件由中国轻工业联合会提出。</w:t>
      </w:r>
    </w:p>
    <w:p>
      <w:pPr>
        <w:pStyle w:val="67"/>
        <w:ind w:firstLine="420"/>
      </w:pPr>
      <w:r>
        <w:rPr>
          <w:rFonts w:hint="eastAsia"/>
        </w:rPr>
        <w:t>本文件由全国五金制品标准化技术委员会(SAC/TC174)归口。</w:t>
      </w:r>
    </w:p>
    <w:p>
      <w:pPr>
        <w:pStyle w:val="67"/>
        <w:ind w:firstLine="420"/>
      </w:pPr>
      <w:r>
        <w:rPr>
          <w:rFonts w:hint="eastAsia"/>
        </w:rPr>
        <w:t>本文件起草单位：</w:t>
      </w:r>
    </w:p>
    <w:p>
      <w:pPr>
        <w:pStyle w:val="67"/>
        <w:ind w:firstLine="420"/>
      </w:pPr>
      <w:r>
        <w:rPr>
          <w:rFonts w:hint="eastAsia"/>
        </w:rPr>
        <w:t>本文件主要起草人：</w:t>
      </w:r>
    </w:p>
    <w:p>
      <w:pPr>
        <w:pStyle w:val="67"/>
        <w:ind w:firstLine="420"/>
      </w:pPr>
      <w:r>
        <w:rPr>
          <w:rFonts w:hint="eastAsia"/>
        </w:rPr>
        <w:t>本文件所替代文件的历次版本发布情况为：</w:t>
      </w:r>
      <w:r>
        <w:t>本文件于</w:t>
      </w:r>
      <w:r>
        <w:rPr>
          <w:rFonts w:hint="eastAsia"/>
        </w:rPr>
        <w:t>1999年首次发布，2011年首次修订，本次为第二次修订。</w:t>
      </w:r>
    </w:p>
    <w:p>
      <w:pPr>
        <w:pStyle w:val="67"/>
        <w:ind w:firstLine="199" w:firstLineChars="95"/>
      </w:pPr>
    </w:p>
    <w:p>
      <w:pPr>
        <w:pStyle w:val="67"/>
        <w:ind w:firstLine="420"/>
      </w:pPr>
    </w:p>
    <w:p>
      <w:pPr>
        <w:pStyle w:val="67"/>
        <w:ind w:firstLine="199" w:firstLineChars="95"/>
        <w:sectPr>
          <w:headerReference r:id="rId11" w:type="default"/>
          <w:footerReference r:id="rId13" w:type="default"/>
          <w:headerReference r:id="rId12" w:type="even"/>
          <w:footerReference r:id="rId14" w:type="even"/>
          <w:pgSz w:w="11906" w:h="16838"/>
          <w:pgMar w:top="1871" w:right="1134" w:bottom="1134" w:left="1134" w:header="1418" w:footer="1134" w:gutter="284"/>
          <w:pgNumType w:fmt="upperRoman"/>
          <w:cols w:space="425" w:num="1"/>
          <w:formProt w:val="0"/>
          <w:docGrid w:type="lines" w:linePitch="312" w:charSpace="0"/>
        </w:sectPr>
      </w:pPr>
    </w:p>
    <w:bookmarkEnd w:id="19"/>
    <w:p>
      <w:pPr>
        <w:pStyle w:val="67"/>
        <w:ind w:firstLine="0" w:firstLineChars="0"/>
        <w:sectPr>
          <w:headerReference r:id="rId15" w:type="default"/>
          <w:footerReference r:id="rId17" w:type="default"/>
          <w:headerReference r:id="rId16" w:type="even"/>
          <w:footerReference r:id="rId18" w:type="even"/>
          <w:pgSz w:w="11906" w:h="16838"/>
          <w:pgMar w:top="1871" w:right="1134" w:bottom="1134" w:left="1134" w:header="1418" w:footer="1134" w:gutter="284"/>
          <w:pgNumType w:fmt="upperRoman"/>
          <w:cols w:space="425" w:num="1"/>
          <w:formProt w:val="0"/>
          <w:docGrid w:type="lines" w:linePitch="312" w:charSpace="0"/>
        </w:sectPr>
      </w:pPr>
      <w:bookmarkStart w:id="20" w:name="BookMark3"/>
    </w:p>
    <w:bookmarkEnd w:id="20"/>
    <w:p>
      <w:pPr>
        <w:spacing w:line="20" w:lineRule="exact"/>
        <w:jc w:val="center"/>
        <w:rPr>
          <w:rFonts w:ascii="黑体" w:hAnsi="黑体" w:eastAsia="黑体"/>
          <w:sz w:val="32"/>
          <w:szCs w:val="32"/>
        </w:rPr>
      </w:pPr>
      <w:bookmarkStart w:id="21" w:name="BookMark4"/>
    </w:p>
    <w:p>
      <w:pPr>
        <w:spacing w:line="20" w:lineRule="exact"/>
        <w:jc w:val="center"/>
        <w:rPr>
          <w:rFonts w:ascii="黑体" w:hAnsi="黑体" w:eastAsia="黑体"/>
          <w:sz w:val="32"/>
          <w:szCs w:val="32"/>
        </w:rPr>
      </w:pPr>
    </w:p>
    <w:sdt>
      <w:sdtPr>
        <w:tag w:val="NEW_STAND_NAME"/>
        <w:id w:val="595910757"/>
        <w:lock w:val="sdtLocked"/>
        <w:placeholder>
          <w:docPart w:val="BA748DB698384A649AAADF4FD5797760"/>
        </w:placeholder>
      </w:sdtPr>
      <w:sdtContent>
        <w:p>
          <w:pPr>
            <w:pStyle w:val="188"/>
            <w:spacing w:before="567" w:beforeLines="182" w:after="686" w:afterLines="220"/>
          </w:pPr>
          <w:bookmarkStart w:id="22" w:name="NEW_STAND_NAME"/>
          <w:r>
            <w:rPr>
              <w:rFonts w:hint="eastAsia"/>
            </w:rPr>
            <w:t>吸油烟机及其他烹饪烟气吸排装置</w:t>
          </w:r>
        </w:p>
      </w:sdtContent>
    </w:sdt>
    <w:bookmarkEnd w:id="22"/>
    <w:p>
      <w:pPr>
        <w:pStyle w:val="115"/>
        <w:spacing w:before="312" w:after="312"/>
      </w:pPr>
      <w:bookmarkStart w:id="23" w:name="_Toc61421815"/>
      <w:bookmarkStart w:id="24" w:name="_Toc66815969"/>
      <w:bookmarkStart w:id="25" w:name="_Toc67426322"/>
      <w:bookmarkStart w:id="26" w:name="_Toc67317828"/>
      <w:bookmarkStart w:id="27" w:name="_Toc67317884"/>
      <w:bookmarkStart w:id="28" w:name="_Toc24884211"/>
      <w:bookmarkStart w:id="29" w:name="_Toc66866023"/>
      <w:bookmarkStart w:id="30" w:name="_Toc67430090"/>
      <w:bookmarkStart w:id="31" w:name="_Toc67318102"/>
      <w:bookmarkStart w:id="32" w:name="_Toc26648465"/>
      <w:bookmarkStart w:id="33" w:name="_Toc67429506"/>
      <w:bookmarkStart w:id="34" w:name="_Toc26986530"/>
      <w:bookmarkStart w:id="35" w:name="_Toc24884218"/>
      <w:bookmarkStart w:id="36" w:name="_Toc66814515"/>
      <w:bookmarkStart w:id="37" w:name="_Toc65063268"/>
      <w:bookmarkStart w:id="38" w:name="_Toc65063196"/>
      <w:bookmarkStart w:id="39" w:name="_Toc67429542"/>
      <w:bookmarkStart w:id="40" w:name="_Toc26718930"/>
      <w:bookmarkStart w:id="41" w:name="_Toc17233333"/>
      <w:bookmarkStart w:id="42" w:name="_Toc26986771"/>
      <w:bookmarkStart w:id="43" w:name="_Toc17233325"/>
      <w:r>
        <w:rPr>
          <w:rFonts w:hint="eastAsia"/>
        </w:rPr>
        <w:t>范围</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pPr>
        <w:pStyle w:val="67"/>
        <w:autoSpaceDE/>
        <w:autoSpaceDN/>
        <w:ind w:firstLine="420"/>
      </w:pPr>
      <w:r>
        <w:rPr>
          <w:rFonts w:hint="eastAsia"/>
        </w:rPr>
        <w:t>本文件规定了额定电压不超过250</w:t>
      </w:r>
      <w:r>
        <w:t> </w:t>
      </w:r>
      <w:r>
        <w:rPr>
          <w:rFonts w:hint="eastAsia"/>
        </w:rPr>
        <w:t>V的吸油烟机及其他烹饪烟气吸排装置（以下简称“器具”）的空气性能、噪声、气味降低度、油脂分离度等技术要求，描述了相应的抽样、试验方法，规定了标志、包装、运输和贮存等方面的内容，同时给出了便于技术规定的产品分类。</w:t>
      </w:r>
    </w:p>
    <w:p>
      <w:pPr>
        <w:pStyle w:val="67"/>
        <w:ind w:firstLine="420"/>
      </w:pPr>
      <w:r>
        <w:rPr>
          <w:rFonts w:hint="eastAsia"/>
        </w:rPr>
        <w:t>本文件未涉及：</w:t>
      </w:r>
    </w:p>
    <w:p>
      <w:pPr>
        <w:pStyle w:val="67"/>
        <w:ind w:firstLine="420"/>
      </w:pPr>
      <w:r>
        <w:rPr>
          <w:rFonts w:ascii="Times New Roman"/>
        </w:rPr>
        <w:t>——</w:t>
      </w:r>
      <w:r>
        <w:rPr>
          <w:rFonts w:hint="eastAsia"/>
        </w:rPr>
        <w:t>为工业和商业目的安装的器具；</w:t>
      </w:r>
    </w:p>
    <w:p>
      <w:pPr>
        <w:pStyle w:val="67"/>
        <w:ind w:firstLine="420"/>
      </w:pPr>
      <w:r>
        <w:rPr>
          <w:rFonts w:ascii="Times New Roman"/>
        </w:rPr>
        <w:t>——</w:t>
      </w:r>
      <w:r>
        <w:rPr>
          <w:rFonts w:hint="eastAsia"/>
        </w:rPr>
        <w:t>安装在特殊场合的器具，如腐蚀性或爆炸性气体（灰尘、蒸汽或可燃气体）存在的场合。</w:t>
      </w:r>
    </w:p>
    <w:p>
      <w:pPr>
        <w:pStyle w:val="115"/>
        <w:spacing w:before="312" w:after="312"/>
      </w:pPr>
      <w:bookmarkStart w:id="44" w:name="_Toc26718931"/>
      <w:bookmarkStart w:id="45" w:name="_Toc65063197"/>
      <w:bookmarkStart w:id="46" w:name="_Toc67317829"/>
      <w:bookmarkStart w:id="47" w:name="_Toc17233334"/>
      <w:bookmarkStart w:id="48" w:name="_Toc26648466"/>
      <w:bookmarkStart w:id="49" w:name="_Toc66815970"/>
      <w:bookmarkStart w:id="50" w:name="_Toc17233326"/>
      <w:bookmarkStart w:id="51" w:name="_Toc24884212"/>
      <w:bookmarkStart w:id="52" w:name="_Toc67429543"/>
      <w:bookmarkStart w:id="53" w:name="_Toc26986531"/>
      <w:bookmarkStart w:id="54" w:name="_Toc67426323"/>
      <w:bookmarkStart w:id="55" w:name="_Toc61421816"/>
      <w:bookmarkStart w:id="56" w:name="_Toc66814516"/>
      <w:bookmarkStart w:id="57" w:name="_Toc67318103"/>
      <w:bookmarkStart w:id="58" w:name="_Toc67430091"/>
      <w:bookmarkStart w:id="59" w:name="_Toc26986772"/>
      <w:bookmarkStart w:id="60" w:name="_Toc65063269"/>
      <w:bookmarkStart w:id="61" w:name="_Toc67429507"/>
      <w:bookmarkStart w:id="62" w:name="_Toc67317885"/>
      <w:bookmarkStart w:id="63" w:name="_Toc66866024"/>
      <w:bookmarkStart w:id="64" w:name="_Toc24884219"/>
      <w:r>
        <w:rPr>
          <w:rFonts w:hint="eastAsia"/>
        </w:rPr>
        <w:t>规范性引用文件</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sdt>
      <w:sdtPr>
        <w:rPr>
          <w:rFonts w:hint="eastAsia"/>
        </w:rPr>
        <w:id w:val="715848253"/>
        <w:placeholder>
          <w:docPart w:val="63D72F088DD54D3196D73F28FBC5A596"/>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67"/>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67"/>
        <w:ind w:firstLine="420"/>
      </w:pPr>
      <w:bookmarkStart w:id="65" w:name="_Toc61421817"/>
      <w:r>
        <w:rPr>
          <w:rFonts w:hint="eastAsia"/>
        </w:rPr>
        <w:t>GB/T 191  包装储运图示标志</w:t>
      </w:r>
    </w:p>
    <w:p>
      <w:pPr>
        <w:pStyle w:val="67"/>
        <w:ind w:firstLine="420"/>
      </w:pPr>
      <w:r>
        <w:rPr>
          <w:rFonts w:hint="eastAsia"/>
        </w:rPr>
        <w:t>GB/T 1019</w:t>
      </w:r>
      <w:r>
        <w:rPr>
          <w:rFonts w:hint="eastAsia"/>
          <w:lang w:val="en-US" w:eastAsia="zh-CN"/>
        </w:rPr>
        <w:t>-</w:t>
      </w:r>
      <w:r>
        <w:rPr>
          <w:rFonts w:hint="eastAsia"/>
        </w:rPr>
        <w:t>2008  家用和类似用途电器包装通则</w:t>
      </w:r>
    </w:p>
    <w:p>
      <w:pPr>
        <w:pStyle w:val="67"/>
        <w:ind w:firstLine="420"/>
      </w:pPr>
      <w:r>
        <w:t>GB/T 1236</w:t>
      </w:r>
      <w:r>
        <w:rPr>
          <w:rFonts w:hint="eastAsia"/>
          <w:lang w:val="en-US" w:eastAsia="zh-CN"/>
        </w:rPr>
        <w:t>-</w:t>
      </w:r>
      <w:r>
        <w:t>2017</w:t>
      </w:r>
      <w:r>
        <w:rPr>
          <w:rFonts w:hint="eastAsia"/>
        </w:rPr>
        <w:t xml:space="preserve">  工业通风机 用标准化风道性能试验</w:t>
      </w:r>
    </w:p>
    <w:p>
      <w:pPr>
        <w:pStyle w:val="67"/>
        <w:ind w:firstLine="420"/>
      </w:pPr>
      <w:r>
        <w:rPr>
          <w:rFonts w:hint="eastAsia"/>
        </w:rPr>
        <w:t>GB/T 1312  管形荧光灯灯座和启动器座</w:t>
      </w:r>
    </w:p>
    <w:p>
      <w:pPr>
        <w:pStyle w:val="67"/>
        <w:ind w:firstLine="420"/>
      </w:pPr>
      <w:r>
        <w:rPr>
          <w:rFonts w:hint="eastAsia"/>
        </w:rPr>
        <w:t>GB/T 2828.1  计数抽样检验程序  第1部分：按接收质量限（AQL）检索的逐批检验抽样计划</w:t>
      </w:r>
    </w:p>
    <w:p>
      <w:pPr>
        <w:pStyle w:val="67"/>
        <w:ind w:firstLine="420"/>
      </w:pPr>
      <w:r>
        <w:rPr>
          <w:rFonts w:hint="eastAsia"/>
        </w:rPr>
        <w:t>GB/T 2829  周期检验计数抽样程序及表（适用于对过程稳定性的检验）</w:t>
      </w:r>
    </w:p>
    <w:p>
      <w:pPr>
        <w:pStyle w:val="67"/>
        <w:ind w:firstLine="420"/>
      </w:pPr>
      <w:r>
        <w:t>GB/T 3767</w:t>
      </w:r>
      <w:r>
        <w:rPr>
          <w:rFonts w:hint="eastAsia"/>
          <w:lang w:val="en-US" w:eastAsia="zh-CN"/>
        </w:rPr>
        <w:t>-</w:t>
      </w:r>
      <w:r>
        <w:t>2016</w:t>
      </w:r>
      <w:r>
        <w:rPr>
          <w:rFonts w:hint="eastAsia"/>
        </w:rPr>
        <w:t xml:space="preserve">  声学 声压法测定噪声源声功率级和声能量级 反射面上方近似自由场的工程法</w:t>
      </w:r>
    </w:p>
    <w:p>
      <w:pPr>
        <w:pStyle w:val="67"/>
        <w:ind w:firstLine="420"/>
      </w:pPr>
      <w:r>
        <w:t>GB 4214.1</w:t>
      </w:r>
      <w:r>
        <w:rPr>
          <w:rFonts w:hint="eastAsia"/>
          <w:lang w:val="en-US" w:eastAsia="zh-CN"/>
        </w:rPr>
        <w:t>-</w:t>
      </w:r>
      <w:bookmarkStart w:id="260" w:name="_GoBack"/>
      <w:bookmarkEnd w:id="260"/>
      <w:r>
        <w:t>2017</w:t>
      </w:r>
      <w:r>
        <w:rPr>
          <w:rFonts w:hint="eastAsia"/>
        </w:rPr>
        <w:t xml:space="preserve">  家用和类似用途电器噪声测试方法 通用要求</w:t>
      </w:r>
    </w:p>
    <w:p>
      <w:pPr>
        <w:pStyle w:val="67"/>
        <w:ind w:firstLine="420"/>
      </w:pPr>
      <w:r>
        <w:rPr>
          <w:rFonts w:hint="eastAsia"/>
        </w:rPr>
        <w:t>GB 4706.28  家用和类似用途电器的安全  吸油烟机的特殊要求</w:t>
      </w:r>
    </w:p>
    <w:p>
      <w:pPr>
        <w:pStyle w:val="67"/>
        <w:ind w:firstLine="420"/>
      </w:pPr>
      <w:r>
        <w:rPr>
          <w:rFonts w:hint="eastAsia"/>
        </w:rPr>
        <w:t>GB/T 5296.1  消费品使用说明  总则</w:t>
      </w:r>
    </w:p>
    <w:p>
      <w:pPr>
        <w:pStyle w:val="67"/>
        <w:ind w:firstLine="420"/>
      </w:pPr>
      <w:r>
        <w:rPr>
          <w:rFonts w:hint="eastAsia"/>
        </w:rPr>
        <w:t>GB/T 5296.2  消费品使用说明  家用和类似用途电器的使用说明</w:t>
      </w:r>
    </w:p>
    <w:p>
      <w:pPr>
        <w:pStyle w:val="67"/>
        <w:ind w:firstLine="420"/>
      </w:pPr>
      <w:r>
        <w:rPr>
          <w:rFonts w:hint="eastAsia"/>
        </w:rPr>
        <w:t>GB/T 6165  高效空气过滤器性能试验方法  效率和阻力</w:t>
      </w:r>
    </w:p>
    <w:p>
      <w:pPr>
        <w:pStyle w:val="67"/>
        <w:ind w:firstLine="420"/>
      </w:pPr>
      <w:r>
        <w:t>GB/T 6881.2</w:t>
      </w:r>
      <w:r>
        <w:rPr>
          <w:rFonts w:hint="eastAsia"/>
        </w:rPr>
        <w:t xml:space="preserve">  声学 声压法测定噪声源声功率级和声能量级 混响场内小型可移动声源工程法 硬壁测试室比较法</w:t>
      </w:r>
    </w:p>
    <w:p>
      <w:pPr>
        <w:pStyle w:val="67"/>
        <w:ind w:firstLine="420"/>
      </w:pPr>
      <w:r>
        <w:t>GB/T 6881.3</w:t>
      </w:r>
      <w:r>
        <w:rPr>
          <w:rFonts w:hint="eastAsia"/>
        </w:rPr>
        <w:t xml:space="preserve">  声学 声压法测定噪声源声功率级 混响场中小型可移动声源工程法 第2部分:专用混响测试室法</w:t>
      </w:r>
    </w:p>
    <w:p>
      <w:pPr>
        <w:pStyle w:val="67"/>
        <w:ind w:firstLine="420"/>
      </w:pPr>
      <w:r>
        <w:rPr>
          <w:rFonts w:hint="eastAsia"/>
        </w:rPr>
        <w:t>GB/T 17935  螺口灯座</w:t>
      </w:r>
    </w:p>
    <w:p>
      <w:pPr>
        <w:pStyle w:val="67"/>
        <w:ind w:firstLine="420"/>
      </w:pPr>
      <w:r>
        <w:rPr>
          <w:rFonts w:hint="eastAsia"/>
        </w:rPr>
        <w:t>GB/T 17936  卡口灯座</w:t>
      </w:r>
    </w:p>
    <w:p>
      <w:pPr>
        <w:pStyle w:val="67"/>
        <w:ind w:firstLine="420"/>
      </w:pPr>
      <w:r>
        <w:t>GB/T 25516</w:t>
      </w:r>
      <w:r>
        <w:rPr>
          <w:rFonts w:hint="eastAsia"/>
          <w:lang w:val="en-US" w:eastAsia="zh-CN"/>
        </w:rPr>
        <w:t>-</w:t>
      </w:r>
      <w:r>
        <w:t>2010</w:t>
      </w:r>
      <w:r>
        <w:rPr>
          <w:rFonts w:hint="eastAsia"/>
        </w:rPr>
        <w:t xml:space="preserve">  声学 管道消声器和风道末端单元的实验室测量方法 插入损失、气流噪声和全压损失</w:t>
      </w:r>
    </w:p>
    <w:p>
      <w:pPr>
        <w:pStyle w:val="67"/>
        <w:ind w:firstLine="420"/>
      </w:pPr>
    </w:p>
    <w:p>
      <w:pPr>
        <w:pStyle w:val="67"/>
        <w:ind w:firstLine="420"/>
      </w:pPr>
      <w:r>
        <w:rPr>
          <w:rFonts w:hint="eastAsia"/>
        </w:rPr>
        <w:t>T/CAB</w:t>
      </w:r>
      <w:r>
        <w:rPr>
          <w:rFonts w:hint="eastAsia"/>
          <w:lang w:val="en-US" w:eastAsia="zh-CN"/>
        </w:rPr>
        <w:t xml:space="preserve"> 0102-</w:t>
      </w:r>
      <w:r>
        <w:rPr>
          <w:rFonts w:hint="eastAsia"/>
        </w:rPr>
        <w:t>2021  家用和类似用途电器的安全  锐利边缘判定方法</w:t>
      </w:r>
    </w:p>
    <w:p>
      <w:pPr>
        <w:pStyle w:val="115"/>
        <w:spacing w:before="312" w:after="312"/>
      </w:pPr>
      <w:bookmarkStart w:id="66" w:name="_Toc66866025"/>
      <w:bookmarkStart w:id="67" w:name="_Toc67317830"/>
      <w:bookmarkStart w:id="68" w:name="_Toc65063198"/>
      <w:bookmarkStart w:id="69" w:name="_Toc67430092"/>
      <w:bookmarkStart w:id="70" w:name="_Toc65063270"/>
      <w:bookmarkStart w:id="71" w:name="_Toc66814517"/>
      <w:bookmarkStart w:id="72" w:name="_Toc67318104"/>
      <w:bookmarkStart w:id="73" w:name="_Toc67429508"/>
      <w:bookmarkStart w:id="74" w:name="_Toc67426324"/>
      <w:bookmarkStart w:id="75" w:name="_Toc67429544"/>
      <w:bookmarkStart w:id="76" w:name="_Toc66815971"/>
      <w:bookmarkStart w:id="77" w:name="_Toc67317886"/>
      <w:r>
        <w:rPr>
          <w:rFonts w:hint="eastAsia"/>
          <w:szCs w:val="21"/>
        </w:rPr>
        <w:t>术语和定义</w:t>
      </w:r>
      <w:bookmarkEnd w:id="65"/>
      <w:bookmarkEnd w:id="66"/>
      <w:bookmarkEnd w:id="67"/>
      <w:bookmarkEnd w:id="68"/>
      <w:bookmarkEnd w:id="69"/>
      <w:bookmarkEnd w:id="70"/>
      <w:bookmarkEnd w:id="71"/>
      <w:bookmarkEnd w:id="72"/>
      <w:bookmarkEnd w:id="73"/>
      <w:bookmarkEnd w:id="74"/>
      <w:bookmarkEnd w:id="75"/>
      <w:bookmarkEnd w:id="76"/>
      <w:bookmarkEnd w:id="77"/>
    </w:p>
    <w:sdt>
      <w:sdtPr>
        <w:id w:val="-1909835108"/>
        <w:placeholder>
          <w:docPart w:val="63D72F088DD54D3196D73F28FBC5A596"/>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67"/>
            <w:ind w:firstLine="420"/>
          </w:pPr>
          <w:bookmarkStart w:id="78" w:name="_Toc26986532"/>
          <w:bookmarkEnd w:id="78"/>
          <w:r>
            <w:t>下列术语和定义适用于本文件。</w:t>
          </w:r>
        </w:p>
      </w:sdtContent>
    </w:sdt>
    <w:p>
      <w:pPr>
        <w:pStyle w:val="234"/>
        <w:ind w:left="420" w:hanging="420" w:hangingChars="200"/>
        <w:rPr>
          <w:rFonts w:ascii="黑体" w:hAnsi="黑体" w:eastAsia="黑体"/>
        </w:rPr>
      </w:pPr>
      <w:r>
        <w:rPr>
          <w:rFonts w:ascii="黑体" w:hAnsi="黑体" w:eastAsia="黑体"/>
        </w:rPr>
        <w:br w:type="textWrapping"/>
      </w:r>
      <w:r>
        <w:rPr>
          <w:rFonts w:hint="eastAsia" w:ascii="黑体" w:hAnsi="黑体" w:eastAsia="黑体"/>
        </w:rPr>
        <w:t>吸油烟机  range hood</w:t>
      </w:r>
    </w:p>
    <w:p>
      <w:pPr>
        <w:pStyle w:val="67"/>
        <w:ind w:firstLine="420"/>
      </w:pPr>
      <w:r>
        <w:rPr>
          <w:rFonts w:hint="eastAsia"/>
        </w:rPr>
        <w:t>安装在炉灶上部，用于收集、处理被污染空气的电动器具。</w:t>
      </w:r>
    </w:p>
    <w:p>
      <w:pPr>
        <w:pStyle w:val="234"/>
        <w:ind w:left="420" w:hanging="420" w:hangingChars="200"/>
        <w:rPr>
          <w:rFonts w:ascii="黑体" w:hAnsi="黑体" w:eastAsia="黑体"/>
        </w:rPr>
      </w:pPr>
      <w:r>
        <w:rPr>
          <w:rFonts w:ascii="黑体" w:hAnsi="黑体" w:eastAsia="黑体"/>
        </w:rPr>
        <w:br w:type="textWrapping"/>
      </w:r>
      <w:r>
        <w:rPr>
          <w:rFonts w:hint="eastAsia" w:ascii="黑体" w:hAnsi="黑体" w:eastAsia="黑体"/>
        </w:rPr>
        <w:t>外排式吸油烟机  air-extraction range hood</w:t>
      </w:r>
    </w:p>
    <w:p>
      <w:pPr>
        <w:pStyle w:val="67"/>
        <w:ind w:firstLine="420"/>
      </w:pPr>
      <w:r>
        <w:rPr>
          <w:rFonts w:hint="eastAsia"/>
        </w:rPr>
        <w:t>通过管道将气体排向室外的吸油烟机（3.</w:t>
      </w:r>
      <w:r>
        <w:t>1</w:t>
      </w:r>
      <w:r>
        <w:rPr>
          <w:rFonts w:hint="eastAsia"/>
        </w:rPr>
        <w:t>）。</w:t>
      </w:r>
    </w:p>
    <w:p>
      <w:pPr>
        <w:pStyle w:val="234"/>
        <w:ind w:left="420" w:hanging="420" w:hangingChars="200"/>
        <w:rPr>
          <w:rFonts w:ascii="黑体" w:hAnsi="黑体" w:eastAsia="黑体"/>
        </w:rPr>
      </w:pPr>
      <w:r>
        <w:rPr>
          <w:rFonts w:ascii="黑体" w:hAnsi="黑体" w:eastAsia="黑体"/>
        </w:rPr>
        <w:br w:type="textWrapping"/>
      </w:r>
      <w:r>
        <w:rPr>
          <w:rFonts w:hint="eastAsia" w:ascii="黑体" w:hAnsi="黑体" w:eastAsia="黑体"/>
        </w:rPr>
        <w:t>循环式吸油烟机  recirculating range hood</w:t>
      </w:r>
    </w:p>
    <w:p>
      <w:pPr>
        <w:pStyle w:val="67"/>
        <w:ind w:firstLine="420"/>
      </w:pPr>
      <w:r>
        <w:rPr>
          <w:rFonts w:hint="eastAsia"/>
        </w:rPr>
        <w:t>将被污染的空气处理后，重新返回室内的吸油烟机（3.</w:t>
      </w:r>
      <w:r>
        <w:t>1</w:t>
      </w:r>
      <w:r>
        <w:rPr>
          <w:rFonts w:hint="eastAsia"/>
        </w:rPr>
        <w:t>）。</w:t>
      </w:r>
    </w:p>
    <w:p>
      <w:pPr>
        <w:pStyle w:val="234"/>
        <w:ind w:left="420" w:hanging="420" w:hangingChars="200"/>
        <w:rPr>
          <w:rFonts w:ascii="黑体" w:hAnsi="黑体" w:eastAsia="黑体"/>
        </w:rPr>
      </w:pPr>
      <w:r>
        <w:rPr>
          <w:rFonts w:ascii="黑体" w:hAnsi="黑体" w:eastAsia="黑体"/>
        </w:rPr>
        <w:br w:type="textWrapping"/>
      </w:r>
      <w:r>
        <w:rPr>
          <w:rFonts w:hint="eastAsia" w:ascii="黑体" w:hAnsi="黑体" w:eastAsia="黑体"/>
        </w:rPr>
        <w:t>两用式吸油烟机  dual type range hood</w:t>
      </w:r>
    </w:p>
    <w:p>
      <w:pPr>
        <w:pStyle w:val="67"/>
        <w:ind w:firstLine="420"/>
      </w:pPr>
      <w:r>
        <w:rPr>
          <w:rFonts w:hint="eastAsia"/>
        </w:rPr>
        <w:t>既可作为外排式，又可作为循环式使用的吸油烟机（3.</w:t>
      </w:r>
      <w:r>
        <w:t>1</w:t>
      </w:r>
      <w:r>
        <w:rPr>
          <w:rFonts w:hint="eastAsia"/>
        </w:rPr>
        <w:t>）。</w:t>
      </w:r>
    </w:p>
    <w:p>
      <w:pPr>
        <w:pStyle w:val="234"/>
        <w:ind w:left="420" w:hanging="420" w:hangingChars="200"/>
        <w:rPr>
          <w:rFonts w:ascii="黑体" w:hAnsi="黑体" w:eastAsia="黑体"/>
        </w:rPr>
      </w:pPr>
    </w:p>
    <w:p>
      <w:pPr>
        <w:pStyle w:val="234"/>
        <w:numPr>
          <w:ilvl w:val="0"/>
          <w:numId w:val="0"/>
        </w:numPr>
        <w:ind w:left="420"/>
        <w:rPr>
          <w:rFonts w:ascii="黑体" w:hAnsi="黑体" w:eastAsia="黑体"/>
        </w:rPr>
      </w:pPr>
      <w:r>
        <w:rPr>
          <w:rFonts w:hint="eastAsia" w:ascii="黑体" w:hAnsi="黑体" w:eastAsia="黑体"/>
        </w:rPr>
        <w:t>主电机  main motor</w:t>
      </w:r>
    </w:p>
    <w:p>
      <w:pPr>
        <w:pStyle w:val="67"/>
        <w:ind w:firstLine="420"/>
      </w:pPr>
      <w:r>
        <w:rPr>
          <w:rFonts w:hint="eastAsia"/>
        </w:rPr>
        <w:t>用于驱动器具排烟叶轮的电机。</w:t>
      </w:r>
    </w:p>
    <w:p>
      <w:pPr>
        <w:pStyle w:val="234"/>
        <w:ind w:left="420" w:hanging="420" w:hangingChars="200"/>
        <w:rPr>
          <w:rFonts w:ascii="黑体" w:hAnsi="黑体" w:eastAsia="黑体"/>
        </w:rPr>
      </w:pPr>
    </w:p>
    <w:p>
      <w:pPr>
        <w:pStyle w:val="234"/>
        <w:numPr>
          <w:ilvl w:val="0"/>
          <w:numId w:val="0"/>
        </w:numPr>
        <w:ind w:left="420"/>
        <w:rPr>
          <w:rFonts w:ascii="黑体" w:hAnsi="黑体" w:eastAsia="黑体"/>
        </w:rPr>
      </w:pPr>
      <w:r>
        <w:rPr>
          <w:rFonts w:hint="eastAsia" w:ascii="黑体" w:hAnsi="黑体" w:eastAsia="黑体"/>
        </w:rPr>
        <w:t>最高转速档  highest continuous setting for normal use</w:t>
      </w:r>
    </w:p>
    <w:p>
      <w:pPr>
        <w:pStyle w:val="67"/>
        <w:autoSpaceDE/>
        <w:autoSpaceDN/>
        <w:ind w:firstLine="420"/>
      </w:pPr>
      <w:r>
        <w:rPr>
          <w:rFonts w:hint="eastAsia"/>
        </w:rPr>
        <w:t>器具以额定电压、额定频率运行，静压为0 Pa的情况下以最高转速持续运转且不会自动调节到其他档位下运行的档位。</w:t>
      </w:r>
    </w:p>
    <w:p>
      <w:pPr>
        <w:pStyle w:val="234"/>
        <w:ind w:left="420" w:hanging="420" w:hangingChars="200"/>
        <w:rPr>
          <w:rFonts w:ascii="黑体" w:hAnsi="黑体" w:eastAsia="黑体"/>
        </w:rPr>
      </w:pPr>
    </w:p>
    <w:p>
      <w:pPr>
        <w:pStyle w:val="234"/>
        <w:numPr>
          <w:ilvl w:val="0"/>
          <w:numId w:val="0"/>
        </w:numPr>
        <w:ind w:left="420"/>
        <w:rPr>
          <w:rFonts w:ascii="黑体" w:hAnsi="黑体" w:eastAsia="黑体"/>
        </w:rPr>
      </w:pPr>
      <w:r>
        <w:rPr>
          <w:rFonts w:hint="eastAsia" w:ascii="黑体" w:hAnsi="黑体" w:eastAsia="黑体"/>
        </w:rPr>
        <w:t xml:space="preserve">短时工作升速档  </w:t>
      </w:r>
      <w:r>
        <w:rPr>
          <w:rFonts w:ascii="黑体" w:hAnsi="黑体" w:eastAsia="黑体"/>
        </w:rPr>
        <w:t>non-continuous setting for use</w:t>
      </w:r>
    </w:p>
    <w:p>
      <w:pPr>
        <w:pStyle w:val="67"/>
        <w:autoSpaceDE/>
        <w:autoSpaceDN/>
        <w:ind w:firstLine="420"/>
      </w:pPr>
      <w:r>
        <w:rPr>
          <w:rFonts w:hint="eastAsia"/>
        </w:rPr>
        <w:t>器具以额定电压、额定频率运行，静压为0 Pa的情况下持续运转不超过3 min，且会自动调整到低转速档位下运行的档位。</w:t>
      </w:r>
    </w:p>
    <w:p>
      <w:pPr>
        <w:pStyle w:val="234"/>
        <w:ind w:left="420" w:hanging="420" w:hangingChars="200"/>
        <w:rPr>
          <w:rFonts w:ascii="黑体" w:hAnsi="黑体" w:eastAsia="黑体"/>
        </w:rPr>
      </w:pPr>
      <w:r>
        <w:rPr>
          <w:rFonts w:ascii="黑体" w:hAnsi="黑体" w:eastAsia="黑体"/>
        </w:rPr>
        <w:br w:type="textWrapping"/>
      </w:r>
      <w:r>
        <w:rPr>
          <w:rFonts w:hint="eastAsia" w:ascii="黑体" w:hAnsi="黑体" w:eastAsia="黑体"/>
        </w:rPr>
        <w:t>最大风量  max</w:t>
      </w:r>
      <w:r>
        <w:rPr>
          <w:rFonts w:ascii="黑体" w:hAnsi="黑体" w:eastAsia="黑体"/>
        </w:rPr>
        <w:t xml:space="preserve"> </w:t>
      </w:r>
      <w:r>
        <w:rPr>
          <w:rFonts w:hint="eastAsia" w:ascii="黑体" w:hAnsi="黑体" w:eastAsia="黑体"/>
        </w:rPr>
        <w:t>airflow</w:t>
      </w:r>
    </w:p>
    <w:p>
      <w:pPr>
        <w:pStyle w:val="67"/>
        <w:autoSpaceDE/>
        <w:autoSpaceDN/>
        <w:ind w:firstLine="420"/>
      </w:pPr>
      <w:r>
        <w:rPr>
          <w:rFonts w:hint="eastAsia"/>
        </w:rPr>
        <w:t>器具在最高转速档运行，静压为0</w:t>
      </w:r>
      <w:r>
        <w:t> </w:t>
      </w:r>
      <w:r>
        <w:rPr>
          <w:rFonts w:hint="eastAsia"/>
        </w:rPr>
        <w:t>Pa时单位时间内输送的气体体积，单位为立方米每分钟（m</w:t>
      </w:r>
      <w:r>
        <w:rPr>
          <w:rFonts w:hint="eastAsia"/>
          <w:vertAlign w:val="superscript"/>
        </w:rPr>
        <w:t>3</w:t>
      </w:r>
      <w:r>
        <w:rPr>
          <w:rFonts w:hint="eastAsia"/>
        </w:rPr>
        <w:t>/min）。</w:t>
      </w:r>
    </w:p>
    <w:p>
      <w:pPr>
        <w:pStyle w:val="234"/>
        <w:ind w:left="420" w:hanging="420" w:hangingChars="200"/>
        <w:rPr>
          <w:rFonts w:ascii="黑体" w:hAnsi="黑体" w:eastAsia="黑体"/>
        </w:rPr>
      </w:pPr>
      <w:r>
        <w:rPr>
          <w:rFonts w:ascii="黑体" w:hAnsi="黑体" w:eastAsia="黑体"/>
        </w:rPr>
        <w:br w:type="textWrapping"/>
      </w:r>
      <w:r>
        <w:rPr>
          <w:rFonts w:hint="eastAsia" w:ascii="黑体" w:hAnsi="黑体" w:eastAsia="黑体"/>
        </w:rPr>
        <w:t>最大静压  max static pressure</w:t>
      </w:r>
    </w:p>
    <w:p>
      <w:pPr>
        <w:pStyle w:val="67"/>
        <w:autoSpaceDE/>
        <w:autoSpaceDN/>
        <w:ind w:firstLine="420"/>
      </w:pPr>
      <w:r>
        <w:rPr>
          <w:rFonts w:hint="eastAsia"/>
        </w:rPr>
        <w:t>器具在最高转速档运行，风量为0</w:t>
      </w:r>
      <w:r>
        <w:t> </w:t>
      </w:r>
      <w:r>
        <w:rPr>
          <w:rFonts w:hint="eastAsia"/>
        </w:rPr>
        <w:t>m</w:t>
      </w:r>
      <w:r>
        <w:rPr>
          <w:rFonts w:hint="eastAsia"/>
          <w:vertAlign w:val="superscript"/>
        </w:rPr>
        <w:t>3</w:t>
      </w:r>
      <w:r>
        <w:rPr>
          <w:rFonts w:hint="eastAsia"/>
        </w:rPr>
        <w:t>/min时的静压值，单位为帕斯卡（Pa）。</w:t>
      </w:r>
    </w:p>
    <w:p>
      <w:pPr>
        <w:pStyle w:val="234"/>
        <w:ind w:left="420" w:hanging="420" w:hangingChars="200"/>
        <w:rPr>
          <w:rFonts w:ascii="黑体" w:hAnsi="黑体" w:eastAsia="黑体"/>
        </w:rPr>
      </w:pPr>
      <w:r>
        <w:rPr>
          <w:rFonts w:ascii="黑体" w:hAnsi="黑体" w:eastAsia="黑体"/>
        </w:rPr>
        <w:br w:type="textWrapping"/>
      </w:r>
      <w:r>
        <w:rPr>
          <w:rFonts w:hint="eastAsia" w:ascii="黑体" w:hAnsi="黑体" w:eastAsia="黑体"/>
        </w:rPr>
        <w:t>最大全压效率  total pressure efficiency</w:t>
      </w:r>
    </w:p>
    <w:p>
      <w:pPr>
        <w:pStyle w:val="67"/>
        <w:ind w:firstLine="420"/>
      </w:pPr>
      <w:r>
        <w:rPr>
          <w:rFonts w:hint="eastAsia"/>
        </w:rPr>
        <w:t>器具最高转速档运行状态下全压效率曲线的最大值。</w:t>
      </w:r>
    </w:p>
    <w:p>
      <w:pPr>
        <w:pStyle w:val="234"/>
        <w:ind w:left="420" w:hanging="420" w:hangingChars="200"/>
        <w:rPr>
          <w:rFonts w:ascii="黑体" w:hAnsi="黑体" w:eastAsia="黑体"/>
        </w:rPr>
      </w:pPr>
    </w:p>
    <w:p>
      <w:pPr>
        <w:pStyle w:val="234"/>
        <w:numPr>
          <w:ilvl w:val="0"/>
          <w:numId w:val="0"/>
        </w:numPr>
        <w:ind w:left="420"/>
        <w:rPr>
          <w:rFonts w:ascii="黑体" w:hAnsi="黑体" w:eastAsia="黑体"/>
        </w:rPr>
      </w:pPr>
      <w:r>
        <w:rPr>
          <w:rFonts w:hint="eastAsia" w:ascii="黑体" w:hAnsi="黑体" w:eastAsia="黑体"/>
        </w:rPr>
        <w:t xml:space="preserve">工作风量 working airflow </w:t>
      </w:r>
    </w:p>
    <w:p>
      <w:pPr>
        <w:pStyle w:val="67"/>
        <w:ind w:firstLine="420"/>
      </w:pPr>
      <w:r>
        <w:t>器具以最高转速档运行，在规定的排烟阻力下单</w:t>
      </w:r>
      <w:r>
        <w:rPr>
          <w:rFonts w:hint="eastAsia"/>
        </w:rPr>
        <w:t>位时间内输送的气体体积，单位为立方米每分钟（m</w:t>
      </w:r>
      <w:r>
        <w:rPr>
          <w:rFonts w:hint="eastAsia"/>
          <w:vertAlign w:val="superscript"/>
        </w:rPr>
        <w:t>3</w:t>
      </w:r>
      <w:r>
        <w:rPr>
          <w:rFonts w:hint="eastAsia"/>
        </w:rPr>
        <w:t>/min）。</w:t>
      </w:r>
    </w:p>
    <w:p>
      <w:pPr>
        <w:pStyle w:val="234"/>
        <w:ind w:left="420" w:hanging="420" w:hangingChars="200"/>
        <w:rPr>
          <w:rFonts w:ascii="黑体" w:hAnsi="黑体" w:eastAsia="黑体"/>
        </w:rPr>
      </w:pPr>
    </w:p>
    <w:p>
      <w:pPr>
        <w:pStyle w:val="234"/>
        <w:numPr>
          <w:ilvl w:val="0"/>
          <w:numId w:val="0"/>
        </w:numPr>
        <w:ind w:left="420"/>
        <w:rPr>
          <w:rFonts w:ascii="黑体" w:hAnsi="黑体" w:eastAsia="黑体"/>
        </w:rPr>
      </w:pPr>
      <w:r>
        <w:rPr>
          <w:rFonts w:hint="eastAsia" w:ascii="黑体" w:hAnsi="黑体" w:eastAsia="黑体"/>
        </w:rPr>
        <w:t>工作噪声  working noise</w:t>
      </w:r>
    </w:p>
    <w:p>
      <w:pPr>
        <w:pStyle w:val="67"/>
        <w:ind w:firstLine="420"/>
      </w:pPr>
      <w:r>
        <w:t>器具以最高转速档或短时工作升速档（如有）运行，在规定的排烟阻力下</w:t>
      </w:r>
      <w:r>
        <w:rPr>
          <w:rFonts w:hint="eastAsia"/>
        </w:rPr>
        <w:t>产生噪声的A计权声压级量值，单位为分贝（dB(A）)</w:t>
      </w:r>
    </w:p>
    <w:p>
      <w:pPr>
        <w:pStyle w:val="234"/>
        <w:ind w:left="420" w:hanging="420" w:hangingChars="200"/>
        <w:rPr>
          <w:rFonts w:ascii="黑体" w:hAnsi="黑体" w:eastAsia="黑体"/>
        </w:rPr>
      </w:pPr>
      <w:r>
        <w:rPr>
          <w:rFonts w:ascii="黑体" w:hAnsi="黑体" w:eastAsia="黑体"/>
        </w:rPr>
        <w:br w:type="textWrapping"/>
      </w:r>
      <w:r>
        <w:rPr>
          <w:rFonts w:hint="eastAsia" w:ascii="黑体" w:hAnsi="黑体" w:eastAsia="黑体"/>
        </w:rPr>
        <w:t>气味降低度  odour reduction factor</w:t>
      </w:r>
    </w:p>
    <w:p>
      <w:pPr>
        <w:pStyle w:val="67"/>
        <w:ind w:firstLine="420"/>
      </w:pPr>
      <w:r>
        <w:rPr>
          <w:rFonts w:hint="eastAsia"/>
        </w:rPr>
        <w:t>器具在规定的试验条件下，降低室内异味气体的能力。</w:t>
      </w:r>
    </w:p>
    <w:p>
      <w:pPr>
        <w:pStyle w:val="234"/>
        <w:ind w:left="420" w:hanging="420" w:hangingChars="200"/>
        <w:rPr>
          <w:rFonts w:ascii="黑体" w:hAnsi="黑体" w:eastAsia="黑体"/>
        </w:rPr>
      </w:pPr>
      <w:r>
        <w:rPr>
          <w:rFonts w:ascii="黑体" w:hAnsi="黑体" w:eastAsia="黑体"/>
        </w:rPr>
        <w:br w:type="textWrapping"/>
      </w:r>
      <w:r>
        <w:rPr>
          <w:rFonts w:hint="eastAsia" w:ascii="黑体" w:hAnsi="黑体" w:eastAsia="黑体"/>
        </w:rPr>
        <w:t>常态气味降低度  normal odour reduction factor</w:t>
      </w:r>
    </w:p>
    <w:p>
      <w:pPr>
        <w:pStyle w:val="67"/>
        <w:autoSpaceDE/>
        <w:autoSpaceDN/>
        <w:ind w:firstLine="420"/>
      </w:pPr>
      <w:r>
        <w:rPr>
          <w:rFonts w:hint="eastAsia"/>
        </w:rPr>
        <w:t>器具在规定的试验条件下，实验室持续、定量产生异味气体时，器具同步运转，30</w:t>
      </w:r>
      <w:r>
        <w:t xml:space="preserve"> </w:t>
      </w:r>
      <w:r>
        <w:rPr>
          <w:rFonts w:hint="eastAsia"/>
        </w:rPr>
        <w:t>min内降低室内异常气味的能力。</w:t>
      </w:r>
    </w:p>
    <w:p>
      <w:pPr>
        <w:pStyle w:val="234"/>
        <w:ind w:left="420" w:hanging="420" w:hangingChars="200"/>
        <w:rPr>
          <w:rFonts w:ascii="黑体" w:hAnsi="黑体" w:eastAsia="黑体"/>
        </w:rPr>
      </w:pPr>
      <w:r>
        <w:rPr>
          <w:rFonts w:ascii="黑体" w:hAnsi="黑体" w:eastAsia="黑体"/>
        </w:rPr>
        <w:br w:type="textWrapping"/>
      </w:r>
      <w:r>
        <w:rPr>
          <w:rFonts w:hint="eastAsia" w:ascii="黑体" w:hAnsi="黑体" w:eastAsia="黑体"/>
        </w:rPr>
        <w:t>瞬时气味降低度  instantaneous odour reduction factor</w:t>
      </w:r>
    </w:p>
    <w:p>
      <w:pPr>
        <w:pStyle w:val="67"/>
        <w:autoSpaceDE/>
        <w:autoSpaceDN/>
        <w:ind w:firstLine="420"/>
      </w:pPr>
      <w:r>
        <w:rPr>
          <w:rFonts w:hint="eastAsia"/>
        </w:rPr>
        <w:t>器具在规定的试验条件下，当实验室异味气体浓度达到最大时，开启器具，3 min内降低室内异常气味的能力。</w:t>
      </w:r>
    </w:p>
    <w:p>
      <w:pPr>
        <w:pStyle w:val="234"/>
        <w:ind w:left="420" w:hanging="420" w:hangingChars="200"/>
        <w:rPr>
          <w:rFonts w:ascii="黑体" w:hAnsi="黑体" w:eastAsia="黑体"/>
        </w:rPr>
      </w:pPr>
      <w:r>
        <w:rPr>
          <w:rFonts w:ascii="黑体" w:hAnsi="黑体" w:eastAsia="黑体"/>
        </w:rPr>
        <w:br w:type="textWrapping"/>
      </w:r>
      <w:r>
        <w:rPr>
          <w:rFonts w:hint="eastAsia" w:ascii="黑体" w:hAnsi="黑体" w:eastAsia="黑体"/>
        </w:rPr>
        <w:t>油脂分离度  grease absorption factor</w:t>
      </w:r>
    </w:p>
    <w:p>
      <w:pPr>
        <w:pStyle w:val="67"/>
        <w:ind w:firstLine="420"/>
      </w:pPr>
      <w:r>
        <w:rPr>
          <w:rFonts w:hint="eastAsia"/>
        </w:rPr>
        <w:t>器具在规定的试验条件下，从油烟气体中分离出油脂的能力。</w:t>
      </w:r>
    </w:p>
    <w:p>
      <w:pPr>
        <w:pStyle w:val="234"/>
        <w:ind w:left="420" w:hanging="420" w:hangingChars="200"/>
        <w:rPr>
          <w:rFonts w:ascii="黑体" w:hAnsi="黑体" w:eastAsia="黑体"/>
        </w:rPr>
      </w:pPr>
      <w:r>
        <w:rPr>
          <w:rFonts w:ascii="黑体" w:hAnsi="黑体" w:eastAsia="黑体"/>
        </w:rPr>
        <w:br w:type="textWrapping"/>
      </w:r>
      <w:r>
        <w:rPr>
          <w:rFonts w:hint="eastAsia" w:ascii="黑体" w:hAnsi="黑体" w:eastAsia="黑体"/>
        </w:rPr>
        <w:t>照明灯照度  lamination of lighting</w:t>
      </w:r>
    </w:p>
    <w:p>
      <w:pPr>
        <w:pStyle w:val="67"/>
        <w:ind w:firstLine="420"/>
      </w:pPr>
      <w:r>
        <w:rPr>
          <w:rFonts w:hint="eastAsia"/>
        </w:rPr>
        <w:t>器具照明灯开启后，灶台表面上光的平均辐射功率。</w:t>
      </w:r>
    </w:p>
    <w:p>
      <w:pPr>
        <w:pStyle w:val="115"/>
        <w:spacing w:before="312" w:after="312"/>
      </w:pPr>
      <w:bookmarkStart w:id="79" w:name="_Toc65063199"/>
      <w:bookmarkStart w:id="80" w:name="_Toc65063271"/>
      <w:bookmarkStart w:id="81" w:name="_Toc66814518"/>
      <w:bookmarkStart w:id="82" w:name="_Toc66815972"/>
      <w:bookmarkStart w:id="83" w:name="_Toc66866026"/>
      <w:bookmarkStart w:id="84" w:name="_Toc67317831"/>
      <w:bookmarkStart w:id="85" w:name="_Toc67317887"/>
      <w:bookmarkStart w:id="86" w:name="_Toc67318105"/>
      <w:bookmarkStart w:id="87" w:name="_Toc67426325"/>
      <w:bookmarkStart w:id="88" w:name="_Toc67429509"/>
      <w:bookmarkStart w:id="89" w:name="_Toc67429545"/>
      <w:bookmarkStart w:id="90" w:name="_Toc67430093"/>
      <w:r>
        <w:t>分类和命名</w:t>
      </w:r>
      <w:bookmarkEnd w:id="79"/>
      <w:bookmarkEnd w:id="80"/>
      <w:bookmarkEnd w:id="81"/>
      <w:bookmarkEnd w:id="82"/>
      <w:bookmarkEnd w:id="83"/>
      <w:bookmarkEnd w:id="84"/>
      <w:bookmarkEnd w:id="85"/>
      <w:bookmarkEnd w:id="86"/>
      <w:bookmarkEnd w:id="87"/>
      <w:bookmarkEnd w:id="88"/>
      <w:bookmarkEnd w:id="89"/>
      <w:bookmarkEnd w:id="90"/>
    </w:p>
    <w:p>
      <w:pPr>
        <w:pStyle w:val="116"/>
        <w:spacing w:before="156" w:after="156"/>
        <w:ind w:left="0"/>
      </w:pPr>
      <w:bookmarkStart w:id="91" w:name="_Toc65063200"/>
      <w:r>
        <w:rPr>
          <w:rFonts w:hint="eastAsia"/>
        </w:rPr>
        <w:t>吸油烟机分类方式</w:t>
      </w:r>
      <w:bookmarkEnd w:id="91"/>
    </w:p>
    <w:p>
      <w:pPr>
        <w:pStyle w:val="176"/>
      </w:pPr>
      <w:r>
        <w:rPr>
          <w:rFonts w:hint="eastAsia"/>
        </w:rPr>
        <w:t>按排放方式可分为：</w:t>
      </w:r>
    </w:p>
    <w:p>
      <w:pPr>
        <w:pStyle w:val="185"/>
      </w:pPr>
      <w:r>
        <w:rPr>
          <w:rFonts w:hint="eastAsia"/>
        </w:rPr>
        <w:t>外排式；</w:t>
      </w:r>
    </w:p>
    <w:p>
      <w:pPr>
        <w:pStyle w:val="185"/>
      </w:pPr>
      <w:r>
        <w:t>循环式；</w:t>
      </w:r>
    </w:p>
    <w:p>
      <w:pPr>
        <w:pStyle w:val="185"/>
      </w:pPr>
      <w:r>
        <w:t>两用式。</w:t>
      </w:r>
    </w:p>
    <w:p>
      <w:pPr>
        <w:pStyle w:val="176"/>
      </w:pPr>
      <w:r>
        <w:rPr>
          <w:rFonts w:hint="eastAsia"/>
        </w:rPr>
        <w:t>按开关形式可分为：</w:t>
      </w:r>
    </w:p>
    <w:p>
      <w:pPr>
        <w:pStyle w:val="185"/>
        <w:numPr>
          <w:ilvl w:val="0"/>
          <w:numId w:val="37"/>
        </w:numPr>
      </w:pPr>
      <w:r>
        <w:rPr>
          <w:rFonts w:hint="eastAsia"/>
        </w:rPr>
        <w:t>机械式；</w:t>
      </w:r>
    </w:p>
    <w:p>
      <w:pPr>
        <w:pStyle w:val="185"/>
        <w:numPr>
          <w:ilvl w:val="0"/>
          <w:numId w:val="37"/>
        </w:numPr>
      </w:pPr>
      <w:r>
        <w:t>电子式。</w:t>
      </w:r>
    </w:p>
    <w:p>
      <w:pPr>
        <w:pStyle w:val="176"/>
      </w:pPr>
      <w:r>
        <w:rPr>
          <w:rFonts w:hint="eastAsia"/>
        </w:rPr>
        <w:t>按外形特征可分为：</w:t>
      </w:r>
    </w:p>
    <w:p>
      <w:pPr>
        <w:pStyle w:val="185"/>
        <w:numPr>
          <w:ilvl w:val="0"/>
          <w:numId w:val="38"/>
        </w:numPr>
      </w:pPr>
      <w:r>
        <w:rPr>
          <w:rFonts w:hint="eastAsia"/>
        </w:rPr>
        <w:t>薄型；</w:t>
      </w:r>
    </w:p>
    <w:p>
      <w:pPr>
        <w:pStyle w:val="185"/>
        <w:numPr>
          <w:ilvl w:val="0"/>
          <w:numId w:val="38"/>
        </w:numPr>
      </w:pPr>
      <w:r>
        <w:rPr>
          <w:rFonts w:hint="eastAsia"/>
        </w:rPr>
        <w:t>深型；</w:t>
      </w:r>
    </w:p>
    <w:p>
      <w:pPr>
        <w:pStyle w:val="185"/>
        <w:numPr>
          <w:ilvl w:val="0"/>
          <w:numId w:val="38"/>
        </w:numPr>
      </w:pPr>
      <w:r>
        <w:rPr>
          <w:rFonts w:hint="eastAsia"/>
        </w:rPr>
        <w:t>塔型；</w:t>
      </w:r>
    </w:p>
    <w:p>
      <w:pPr>
        <w:pStyle w:val="185"/>
        <w:numPr>
          <w:ilvl w:val="0"/>
          <w:numId w:val="38"/>
        </w:numPr>
      </w:pPr>
      <w:r>
        <w:rPr>
          <w:rFonts w:hint="eastAsia"/>
        </w:rPr>
        <w:t>侧吸型；</w:t>
      </w:r>
    </w:p>
    <w:p>
      <w:pPr>
        <w:pStyle w:val="185"/>
        <w:numPr>
          <w:ilvl w:val="0"/>
          <w:numId w:val="38"/>
        </w:numPr>
      </w:pPr>
      <w:r>
        <w:rPr>
          <w:rFonts w:hint="eastAsia"/>
        </w:rPr>
        <w:t>其他。</w:t>
      </w:r>
    </w:p>
    <w:p>
      <w:pPr>
        <w:pStyle w:val="176"/>
      </w:pPr>
      <w:r>
        <w:rPr>
          <w:rFonts w:hint="eastAsia"/>
        </w:rPr>
        <w:t>按安装方式可分为：</w:t>
      </w:r>
    </w:p>
    <w:p>
      <w:pPr>
        <w:pStyle w:val="185"/>
        <w:numPr>
          <w:ilvl w:val="0"/>
          <w:numId w:val="39"/>
        </w:numPr>
      </w:pPr>
      <w:r>
        <w:rPr>
          <w:rFonts w:hint="eastAsia"/>
        </w:rPr>
        <w:t>壁挂式；</w:t>
      </w:r>
    </w:p>
    <w:p>
      <w:pPr>
        <w:pStyle w:val="185"/>
        <w:numPr>
          <w:ilvl w:val="0"/>
          <w:numId w:val="39"/>
        </w:numPr>
      </w:pPr>
      <w:r>
        <w:rPr>
          <w:rFonts w:hint="eastAsia"/>
        </w:rPr>
        <w:t>岛式；</w:t>
      </w:r>
    </w:p>
    <w:p>
      <w:pPr>
        <w:pStyle w:val="185"/>
        <w:numPr>
          <w:ilvl w:val="0"/>
          <w:numId w:val="39"/>
        </w:numPr>
      </w:pPr>
      <w:r>
        <w:rPr>
          <w:rFonts w:hint="eastAsia"/>
        </w:rPr>
        <w:t>嵌入式；</w:t>
      </w:r>
    </w:p>
    <w:p>
      <w:pPr>
        <w:pStyle w:val="185"/>
        <w:numPr>
          <w:ilvl w:val="0"/>
          <w:numId w:val="39"/>
        </w:numPr>
      </w:pPr>
      <w:r>
        <w:rPr>
          <w:rFonts w:hint="eastAsia"/>
        </w:rPr>
        <w:t>分体式。</w:t>
      </w:r>
    </w:p>
    <w:p>
      <w:pPr>
        <w:pStyle w:val="116"/>
        <w:spacing w:before="156" w:after="156"/>
        <w:ind w:left="0"/>
      </w:pPr>
      <w:bookmarkStart w:id="92" w:name="_Toc65063201"/>
      <w:r>
        <w:rPr>
          <w:rFonts w:hint="eastAsia"/>
        </w:rPr>
        <w:t>型号命名</w:t>
      </w:r>
      <w:bookmarkEnd w:id="92"/>
    </w:p>
    <w:p>
      <w:pPr>
        <w:pStyle w:val="176"/>
        <w:ind w:left="0"/>
      </w:pPr>
      <w:r>
        <w:rPr>
          <w:rFonts w:hint="eastAsia"/>
        </w:rPr>
        <w:t>吸油烟机的产品型号命名：</w:t>
      </w:r>
    </w:p>
    <w:p>
      <w:pPr>
        <w:pStyle w:val="175"/>
      </w:pPr>
      <w:r>
        <w:rPr>
          <w:rFonts w:hint="eastAsia"/>
        </w:rPr>
        <w:t>产品型号表示方法如下：</w:t>
      </w:r>
      <w:r>
        <w:t xml:space="preserve"> </w:t>
      </w:r>
    </w:p>
    <w:p>
      <w:pPr>
        <w:pStyle w:val="67"/>
        <w:ind w:firstLine="0" w:firstLineChars="0"/>
      </w:pPr>
      <w:r>
        <mc:AlternateContent>
          <mc:Choice Requires="wps">
            <w:drawing>
              <wp:anchor distT="45720" distB="45720" distL="114300" distR="114300" simplePos="0" relativeHeight="251626496" behindDoc="0" locked="0" layoutInCell="1" allowOverlap="1">
                <wp:simplePos x="0" y="0"/>
                <wp:positionH relativeFrom="column">
                  <wp:posOffset>1858010</wp:posOffset>
                </wp:positionH>
                <wp:positionV relativeFrom="paragraph">
                  <wp:posOffset>546735</wp:posOffset>
                </wp:positionV>
                <wp:extent cx="2819400"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819400" cy="1404620"/>
                        </a:xfrm>
                        <a:prstGeom prst="rect">
                          <a:avLst/>
                        </a:prstGeom>
                        <a:noFill/>
                        <a:ln w="9525">
                          <a:noFill/>
                          <a:miter lim="800000"/>
                        </a:ln>
                      </wps:spPr>
                      <wps:txbx>
                        <w:txbxContent>
                          <w:p>
                            <w:pPr>
                              <w:snapToGrid w:val="0"/>
                              <w:spacing w:line="300" w:lineRule="auto"/>
                              <w:rPr>
                                <w:sz w:val="20"/>
                              </w:rPr>
                            </w:pPr>
                            <w:r>
                              <w:rPr>
                                <w:rFonts w:hint="eastAsia"/>
                                <w:sz w:val="20"/>
                              </w:rPr>
                              <w:t>产品特征序号（由</w:t>
                            </w:r>
                            <w:r>
                              <w:rPr>
                                <w:rFonts w:hint="eastAsia" w:hAnsi="宋体"/>
                                <w:kern w:val="0"/>
                                <w:sz w:val="20"/>
                              </w:rPr>
                              <w:t>制造商</w:t>
                            </w:r>
                            <w:r>
                              <w:rPr>
                                <w:rFonts w:hint="eastAsia"/>
                                <w:sz w:val="20"/>
                              </w:rPr>
                              <w:t>自行给定）</w:t>
                            </w:r>
                          </w:p>
                          <w:p>
                            <w:pPr>
                              <w:snapToGrid w:val="0"/>
                              <w:spacing w:line="300" w:lineRule="auto"/>
                              <w:rPr>
                                <w:sz w:val="20"/>
                              </w:rPr>
                            </w:pPr>
                            <w:r>
                              <w:rPr>
                                <w:rFonts w:hint="eastAsia"/>
                                <w:sz w:val="20"/>
                              </w:rPr>
                              <w:t>主电机额定输入功率（包括</w:t>
                            </w:r>
                            <w:r>
                              <w:rPr>
                                <w:sz w:val="20"/>
                              </w:rPr>
                              <w:t>短时工作</w:t>
                            </w:r>
                            <w:r>
                              <w:rPr>
                                <w:rFonts w:hint="eastAsia"/>
                                <w:sz w:val="20"/>
                              </w:rPr>
                              <w:t>升速档）</w:t>
                            </w:r>
                          </w:p>
                          <w:p>
                            <w:pPr>
                              <w:snapToGrid w:val="0"/>
                              <w:spacing w:line="300" w:lineRule="auto"/>
                              <w:rPr>
                                <w:sz w:val="20"/>
                              </w:rPr>
                            </w:pPr>
                            <w:r>
                              <w:rPr>
                                <w:rFonts w:hint="eastAsia"/>
                                <w:sz w:val="20"/>
                              </w:rPr>
                              <w:t>吸油烟机排放方式分类代号</w:t>
                            </w:r>
                          </w:p>
                          <w:p>
                            <w:pPr>
                              <w:snapToGrid w:val="0"/>
                              <w:spacing w:line="300" w:lineRule="auto"/>
                              <w:rPr>
                                <w:sz w:val="20"/>
                              </w:rPr>
                            </w:pPr>
                            <w:r>
                              <w:rPr>
                                <w:rFonts w:hint="eastAsia"/>
                                <w:sz w:val="20"/>
                              </w:rPr>
                              <w:t>产品代号（吸油烟机）</w:t>
                            </w:r>
                          </w:p>
                          <w:p>
                            <w:pPr>
                              <w:snapToGrid w:val="0"/>
                              <w:spacing w:line="300" w:lineRule="auto"/>
                              <w:rPr>
                                <w:sz w:val="20"/>
                              </w:rPr>
                            </w:pPr>
                            <w:r>
                              <w:rPr>
                                <w:rFonts w:hint="eastAsia"/>
                                <w:sz w:val="20"/>
                              </w:rPr>
                              <w:t>厨房器具类代号</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46.3pt;margin-top:43.05pt;height:110.6pt;width:222pt;mso-wrap-distance-bottom:3.6pt;mso-wrap-distance-left:9pt;mso-wrap-distance-right:9pt;mso-wrap-distance-top:3.6pt;z-index:251626496;mso-width-relative:page;mso-height-relative:margin;mso-height-percent:200;" filled="f" stroked="f" coordsize="21600,21600" o:gfxdata="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4Be3Q2AAAAAoBAAAPAAAAAAAAAAEAIAAAACIAAABkcnMvZG93bnJldi54bWxQSwECFAAUAAAA&#10;CACHTuJAGubR+ycCAAAsBAAADgAAAAAAAAABACAAAAAnAQAAZHJzL2Uyb0RvYy54bWxQSwUGAAAA&#10;AAYABgBZAQAAwAUAAAAA&#10;">
                <v:fill on="f" focussize="0,0"/>
                <v:stroke on="f" miterlimit="8" joinstyle="miter"/>
                <v:imagedata o:title=""/>
                <o:lock v:ext="edit" aspectratio="f"/>
                <v:textbox style="mso-fit-shape-to-text:t;">
                  <w:txbxContent>
                    <w:p>
                      <w:pPr>
                        <w:snapToGrid w:val="0"/>
                        <w:spacing w:line="300" w:lineRule="auto"/>
                        <w:rPr>
                          <w:sz w:val="20"/>
                        </w:rPr>
                      </w:pPr>
                      <w:r>
                        <w:rPr>
                          <w:rFonts w:hint="eastAsia"/>
                          <w:sz w:val="20"/>
                        </w:rPr>
                        <w:t>产品特征序号（由</w:t>
                      </w:r>
                      <w:r>
                        <w:rPr>
                          <w:rFonts w:hint="eastAsia" w:hAnsi="宋体"/>
                          <w:kern w:val="0"/>
                          <w:sz w:val="20"/>
                        </w:rPr>
                        <w:t>制造商</w:t>
                      </w:r>
                      <w:r>
                        <w:rPr>
                          <w:rFonts w:hint="eastAsia"/>
                          <w:sz w:val="20"/>
                        </w:rPr>
                        <w:t>自行给定）</w:t>
                      </w:r>
                    </w:p>
                    <w:p>
                      <w:pPr>
                        <w:snapToGrid w:val="0"/>
                        <w:spacing w:line="300" w:lineRule="auto"/>
                        <w:rPr>
                          <w:sz w:val="20"/>
                        </w:rPr>
                      </w:pPr>
                      <w:r>
                        <w:rPr>
                          <w:rFonts w:hint="eastAsia"/>
                          <w:sz w:val="20"/>
                        </w:rPr>
                        <w:t>主电机额定输入功率（包括</w:t>
                      </w:r>
                      <w:r>
                        <w:rPr>
                          <w:sz w:val="20"/>
                        </w:rPr>
                        <w:t>短时工作</w:t>
                      </w:r>
                      <w:r>
                        <w:rPr>
                          <w:rFonts w:hint="eastAsia"/>
                          <w:sz w:val="20"/>
                        </w:rPr>
                        <w:t>升速档）</w:t>
                      </w:r>
                    </w:p>
                    <w:p>
                      <w:pPr>
                        <w:snapToGrid w:val="0"/>
                        <w:spacing w:line="300" w:lineRule="auto"/>
                        <w:rPr>
                          <w:sz w:val="20"/>
                        </w:rPr>
                      </w:pPr>
                      <w:r>
                        <w:rPr>
                          <w:rFonts w:hint="eastAsia"/>
                          <w:sz w:val="20"/>
                        </w:rPr>
                        <w:t>吸油烟机排放方式分类代号</w:t>
                      </w:r>
                    </w:p>
                    <w:p>
                      <w:pPr>
                        <w:snapToGrid w:val="0"/>
                        <w:spacing w:line="300" w:lineRule="auto"/>
                        <w:rPr>
                          <w:sz w:val="20"/>
                        </w:rPr>
                      </w:pPr>
                      <w:r>
                        <w:rPr>
                          <w:rFonts w:hint="eastAsia"/>
                          <w:sz w:val="20"/>
                        </w:rPr>
                        <w:t>产品代号（吸油烟机）</w:t>
                      </w:r>
                    </w:p>
                    <w:p>
                      <w:pPr>
                        <w:snapToGrid w:val="0"/>
                        <w:spacing w:line="300" w:lineRule="auto"/>
                        <w:rPr>
                          <w:sz w:val="20"/>
                        </w:rPr>
                      </w:pPr>
                      <w:r>
                        <w:rPr>
                          <w:rFonts w:hint="eastAsia"/>
                          <w:sz w:val="20"/>
                        </w:rPr>
                        <w:t>厨房器具类代号</w:t>
                      </w:r>
                    </w:p>
                  </w:txbxContent>
                </v:textbox>
                <w10:wrap type="square"/>
              </v:shape>
            </w:pict>
          </mc:Fallback>
        </mc:AlternateContent>
      </w:r>
      <w:r>
        <w:rPr>
          <w:color w:val="000000"/>
          <w:szCs w:val="21"/>
        </w:rPr>
        <w:drawing>
          <wp:inline distT="0" distB="0" distL="0" distR="0">
            <wp:extent cx="1796415" cy="15944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6">
                      <a:extLst>
                        <a:ext uri="{28A0092B-C50C-407E-A947-70E740481C1C}">
                          <a14:useLocalDpi xmlns:a14="http://schemas.microsoft.com/office/drawing/2010/main" val="0"/>
                        </a:ext>
                      </a:extLst>
                    </a:blip>
                    <a:srcRect l="26933" t="33582" r="48067" b="13824"/>
                    <a:stretch>
                      <a:fillRect/>
                    </a:stretch>
                  </pic:blipFill>
                  <pic:spPr>
                    <a:xfrm>
                      <a:off x="0" y="0"/>
                      <a:ext cx="1796415" cy="1594485"/>
                    </a:xfrm>
                    <a:prstGeom prst="rect">
                      <a:avLst/>
                    </a:prstGeom>
                    <a:noFill/>
                    <a:ln>
                      <a:noFill/>
                    </a:ln>
                  </pic:spPr>
                </pic:pic>
              </a:graphicData>
            </a:graphic>
          </wp:inline>
        </w:drawing>
      </w:r>
    </w:p>
    <w:p>
      <w:pPr>
        <w:pStyle w:val="175"/>
      </w:pPr>
      <w:r>
        <w:rPr>
          <w:rFonts w:hint="eastAsia"/>
        </w:rPr>
        <w:t>吸油烟机排放方式分类代号：</w:t>
      </w:r>
    </w:p>
    <w:p>
      <w:pPr>
        <w:pStyle w:val="67"/>
        <w:ind w:firstLine="420"/>
      </w:pPr>
      <w:r>
        <w:rPr>
          <w:rFonts w:hint="eastAsia"/>
        </w:rPr>
        <w:t>W——外排式</w:t>
      </w:r>
    </w:p>
    <w:p>
      <w:pPr>
        <w:pStyle w:val="67"/>
        <w:ind w:firstLine="420"/>
      </w:pPr>
      <w:r>
        <w:rPr>
          <w:rFonts w:hint="eastAsia"/>
        </w:rPr>
        <w:t>X——循环式</w:t>
      </w:r>
    </w:p>
    <w:p>
      <w:pPr>
        <w:pStyle w:val="67"/>
        <w:ind w:firstLine="420"/>
      </w:pPr>
      <w:r>
        <w:rPr>
          <w:rFonts w:hint="eastAsia"/>
        </w:rPr>
        <w:t>L——两用式</w:t>
      </w:r>
    </w:p>
    <w:p>
      <w:pPr>
        <w:pStyle w:val="175"/>
      </w:pPr>
      <w:r>
        <w:rPr>
          <w:rFonts w:hint="eastAsia"/>
        </w:rPr>
        <w:t>产品型号示例：</w:t>
      </w:r>
    </w:p>
    <w:p>
      <w:pPr>
        <w:pStyle w:val="67"/>
        <w:autoSpaceDE/>
        <w:autoSpaceDN/>
        <w:ind w:firstLine="420"/>
      </w:pPr>
      <w:r>
        <w:rPr>
          <w:rFonts w:hint="eastAsia"/>
        </w:rPr>
        <w:t>CXW-175-AB01：外排式吸油烟机，主电机额定输入功率为175</w:t>
      </w:r>
      <w:r>
        <w:t> </w:t>
      </w:r>
      <w:r>
        <w:rPr>
          <w:rFonts w:hint="eastAsia"/>
        </w:rPr>
        <w:t>W，产品特征序号为AB01。</w:t>
      </w:r>
    </w:p>
    <w:p>
      <w:pPr>
        <w:pStyle w:val="176"/>
        <w:ind w:left="0"/>
      </w:pPr>
      <w:r>
        <w:rPr>
          <w:rFonts w:hint="eastAsia"/>
        </w:rPr>
        <w:t>其他烹饪烟气吸排装置的分类和命名按相应产品标准执行。</w:t>
      </w:r>
    </w:p>
    <w:p>
      <w:pPr>
        <w:pStyle w:val="116"/>
        <w:spacing w:before="156" w:after="156"/>
        <w:ind w:left="0"/>
      </w:pPr>
      <w:bookmarkStart w:id="93" w:name="_Toc65063202"/>
      <w:r>
        <w:rPr>
          <w:rFonts w:hint="eastAsia"/>
        </w:rPr>
        <w:t>结构尺寸</w:t>
      </w:r>
      <w:bookmarkEnd w:id="93"/>
    </w:p>
    <w:p>
      <w:pPr>
        <w:pStyle w:val="176"/>
        <w:ind w:left="0"/>
      </w:pPr>
      <w:r>
        <w:rPr>
          <w:rFonts w:hint="eastAsia"/>
        </w:rPr>
        <w:t>为使器具与厨房家具有较好的匹配，外形长度（含外露螺钉）宜为M的整数倍，见表1。</w:t>
      </w:r>
    </w:p>
    <w:p>
      <w:pPr>
        <w:pStyle w:val="190"/>
      </w:pPr>
      <w:r>
        <w:rPr>
          <w:rFonts w:hint="eastAsia"/>
        </w:rPr>
        <w:t>M为国际通用的建筑模数符号，1</w:t>
      </w:r>
      <w:r>
        <w:t> </w:t>
      </w:r>
      <w:r>
        <w:rPr>
          <w:rFonts w:hint="eastAsia"/>
        </w:rPr>
        <w:t>M为</w:t>
      </w:r>
      <w:r>
        <w:t>100 毫米</w:t>
      </w:r>
      <w:r>
        <w:rPr>
          <w:rFonts w:hint="eastAsia"/>
        </w:rPr>
        <w:t>。</w:t>
      </w:r>
    </w:p>
    <w:p>
      <w:pPr>
        <w:pStyle w:val="123"/>
        <w:spacing w:before="156" w:after="156"/>
        <w:ind w:left="0"/>
      </w:pPr>
      <w:r>
        <w:rPr>
          <w:rFonts w:hint="eastAsia"/>
        </w:rPr>
        <w:t>器具外形长度优选尺寸及公差</w:t>
      </w:r>
    </w:p>
    <w:p>
      <w:pPr>
        <w:pStyle w:val="67"/>
        <w:ind w:firstLine="360"/>
        <w:jc w:val="right"/>
        <w:rPr>
          <w:sz w:val="18"/>
        </w:rPr>
      </w:pPr>
      <w:r>
        <w:rPr>
          <w:rFonts w:hint="eastAsia"/>
          <w:sz w:val="18"/>
        </w:rPr>
        <w:t>单位为毫米</w:t>
      </w:r>
    </w:p>
    <w:tbl>
      <w:tblPr>
        <w:tblStyle w:val="37"/>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autofit"/>
        <w:tblCellMar>
          <w:top w:w="0" w:type="dxa"/>
          <w:left w:w="0" w:type="dxa"/>
          <w:bottom w:w="0" w:type="dxa"/>
          <w:right w:w="0" w:type="dxa"/>
        </w:tblCellMar>
      </w:tblPr>
      <w:tblGrid>
        <w:gridCol w:w="3555"/>
        <w:gridCol w:w="729"/>
        <w:gridCol w:w="729"/>
        <w:gridCol w:w="729"/>
        <w:gridCol w:w="729"/>
        <w:gridCol w:w="964"/>
        <w:gridCol w:w="964"/>
        <w:gridCol w:w="97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tblHeader/>
          <w:jc w:val="center"/>
        </w:trPr>
        <w:tc>
          <w:tcPr>
            <w:tcW w:w="1896" w:type="pct"/>
            <w:shd w:val="clear" w:color="auto" w:fill="auto"/>
            <w:vAlign w:val="center"/>
          </w:tcPr>
          <w:p>
            <w:pPr>
              <w:pStyle w:val="189"/>
            </w:pPr>
            <w:r>
              <w:rPr>
                <w:rFonts w:hint="eastAsia"/>
              </w:rPr>
              <w:t>外形长度尺寸</w:t>
            </w:r>
          </w:p>
        </w:tc>
        <w:tc>
          <w:tcPr>
            <w:tcW w:w="389" w:type="pct"/>
            <w:shd w:val="clear" w:color="auto" w:fill="auto"/>
            <w:vAlign w:val="center"/>
          </w:tcPr>
          <w:p>
            <w:pPr>
              <w:pStyle w:val="189"/>
            </w:pPr>
            <w:r>
              <w:rPr>
                <w:rFonts w:hint="eastAsia"/>
              </w:rPr>
              <w:t>600</w:t>
            </w:r>
          </w:p>
        </w:tc>
        <w:tc>
          <w:tcPr>
            <w:tcW w:w="389" w:type="pct"/>
            <w:shd w:val="clear" w:color="auto" w:fill="auto"/>
            <w:vAlign w:val="center"/>
          </w:tcPr>
          <w:p>
            <w:pPr>
              <w:pStyle w:val="189"/>
            </w:pPr>
            <w:r>
              <w:rPr>
                <w:rFonts w:hint="eastAsia"/>
              </w:rPr>
              <w:t>700</w:t>
            </w:r>
          </w:p>
        </w:tc>
        <w:tc>
          <w:tcPr>
            <w:tcW w:w="389" w:type="pct"/>
            <w:shd w:val="clear" w:color="auto" w:fill="auto"/>
            <w:vAlign w:val="center"/>
          </w:tcPr>
          <w:p>
            <w:pPr>
              <w:pStyle w:val="189"/>
            </w:pPr>
            <w:r>
              <w:rPr>
                <w:rFonts w:hint="eastAsia"/>
              </w:rPr>
              <w:t>800</w:t>
            </w:r>
          </w:p>
        </w:tc>
        <w:tc>
          <w:tcPr>
            <w:tcW w:w="389" w:type="pct"/>
            <w:shd w:val="clear" w:color="auto" w:fill="auto"/>
            <w:vAlign w:val="center"/>
          </w:tcPr>
          <w:p>
            <w:pPr>
              <w:pStyle w:val="189"/>
            </w:pPr>
            <w:r>
              <w:rPr>
                <w:rFonts w:hint="eastAsia"/>
              </w:rPr>
              <w:t>900</w:t>
            </w:r>
          </w:p>
        </w:tc>
        <w:tc>
          <w:tcPr>
            <w:tcW w:w="514" w:type="pct"/>
            <w:shd w:val="clear" w:color="auto" w:fill="auto"/>
            <w:vAlign w:val="center"/>
          </w:tcPr>
          <w:p>
            <w:pPr>
              <w:pStyle w:val="189"/>
            </w:pPr>
            <w:r>
              <w:rPr>
                <w:rFonts w:hint="eastAsia"/>
              </w:rPr>
              <w:t>1000</w:t>
            </w:r>
          </w:p>
        </w:tc>
        <w:tc>
          <w:tcPr>
            <w:tcW w:w="514" w:type="pct"/>
            <w:shd w:val="clear" w:color="auto" w:fill="auto"/>
            <w:vAlign w:val="center"/>
          </w:tcPr>
          <w:p>
            <w:pPr>
              <w:pStyle w:val="189"/>
            </w:pPr>
            <w:r>
              <w:rPr>
                <w:rFonts w:hint="eastAsia"/>
              </w:rPr>
              <w:t>1100</w:t>
            </w:r>
          </w:p>
        </w:tc>
        <w:tc>
          <w:tcPr>
            <w:tcW w:w="520" w:type="pct"/>
            <w:shd w:val="clear" w:color="auto" w:fill="auto"/>
            <w:vAlign w:val="center"/>
          </w:tcPr>
          <w:p>
            <w:pPr>
              <w:pStyle w:val="189"/>
            </w:pPr>
            <w:r>
              <w:rPr>
                <w:rFonts w:hint="eastAsia"/>
              </w:rPr>
              <w:t>1200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jc w:val="center"/>
        </w:trPr>
        <w:tc>
          <w:tcPr>
            <w:tcW w:w="1896" w:type="pct"/>
            <w:shd w:val="clear" w:color="auto" w:fill="auto"/>
            <w:vAlign w:val="center"/>
          </w:tcPr>
          <w:p>
            <w:pPr>
              <w:pStyle w:val="189"/>
            </w:pPr>
            <w:r>
              <w:rPr>
                <w:rFonts w:hint="eastAsia"/>
              </w:rPr>
              <w:t>尺寸公差</w:t>
            </w:r>
          </w:p>
        </w:tc>
        <w:tc>
          <w:tcPr>
            <w:tcW w:w="3104" w:type="pct"/>
            <w:gridSpan w:val="7"/>
            <w:shd w:val="clear" w:color="auto" w:fill="auto"/>
            <w:vAlign w:val="center"/>
          </w:tcPr>
          <w:p>
            <w:pPr>
              <w:pStyle w:val="189"/>
              <w:ind w:firstLine="180" w:firstLineChars="100"/>
              <w:jc w:val="both"/>
            </w:pPr>
            <w:r>
              <w:rPr>
                <w:rFonts w:hint="eastAsia"/>
              </w:rPr>
              <w:t>上偏差：</w:t>
            </w:r>
            <w:r>
              <w:t>0</w:t>
            </w:r>
          </w:p>
          <w:p>
            <w:pPr>
              <w:pStyle w:val="193"/>
              <w:ind w:firstLine="180" w:firstLineChars="100"/>
            </w:pPr>
            <w:r>
              <w:t>下偏差：</w:t>
            </w:r>
            <w:r>
              <w:rPr>
                <w:rFonts w:hint="eastAsia"/>
              </w:rPr>
              <w:t>-8</w:t>
            </w:r>
          </w:p>
        </w:tc>
      </w:tr>
    </w:tbl>
    <w:p>
      <w:pPr>
        <w:pStyle w:val="176"/>
        <w:numPr>
          <w:ilvl w:val="0"/>
          <w:numId w:val="0"/>
        </w:numPr>
      </w:pPr>
    </w:p>
    <w:p>
      <w:pPr>
        <w:pStyle w:val="176"/>
        <w:ind w:left="0"/>
      </w:pPr>
      <w:r>
        <w:rPr>
          <w:rFonts w:hint="eastAsia"/>
        </w:rPr>
        <w:t>排风管外径推荐尺寸为： 160</w:t>
      </w:r>
      <w:r>
        <w:t> </w:t>
      </w:r>
      <w:r>
        <w:rPr>
          <w:rFonts w:hint="eastAsia"/>
        </w:rPr>
        <w:t>mm、170</w:t>
      </w:r>
      <w:r>
        <w:t> </w:t>
      </w:r>
      <w:r>
        <w:rPr>
          <w:rFonts w:hint="eastAsia"/>
        </w:rPr>
        <w:t>mm、180</w:t>
      </w:r>
      <w:r>
        <w:t> </w:t>
      </w:r>
      <w:r>
        <w:rPr>
          <w:rFonts w:hint="eastAsia"/>
        </w:rPr>
        <w:t>mm、190</w:t>
      </w:r>
      <w:r>
        <w:t> </w:t>
      </w:r>
      <w:r>
        <w:rPr>
          <w:rFonts w:hint="eastAsia"/>
        </w:rPr>
        <w:t>mm。</w:t>
      </w:r>
    </w:p>
    <w:p>
      <w:pPr>
        <w:pStyle w:val="115"/>
        <w:spacing w:before="312" w:after="312"/>
      </w:pPr>
      <w:bookmarkStart w:id="94" w:name="_Toc65063203"/>
      <w:bookmarkStart w:id="95" w:name="_Toc65063272"/>
      <w:bookmarkStart w:id="96" w:name="_Toc66814519"/>
      <w:bookmarkStart w:id="97" w:name="_Toc66815973"/>
      <w:bookmarkStart w:id="98" w:name="_Toc66866027"/>
      <w:bookmarkStart w:id="99" w:name="_Toc67317832"/>
      <w:bookmarkStart w:id="100" w:name="_Toc67317888"/>
      <w:bookmarkStart w:id="101" w:name="_Toc67318106"/>
      <w:bookmarkStart w:id="102" w:name="_Toc67426326"/>
      <w:bookmarkStart w:id="103" w:name="_Toc67429510"/>
      <w:bookmarkStart w:id="104" w:name="_Toc67429546"/>
      <w:bookmarkStart w:id="105" w:name="_Toc67430094"/>
      <w:r>
        <w:rPr>
          <w:rFonts w:hint="eastAsia"/>
        </w:rPr>
        <w:t>要求</w:t>
      </w:r>
      <w:bookmarkEnd w:id="94"/>
      <w:bookmarkEnd w:id="95"/>
      <w:bookmarkEnd w:id="96"/>
      <w:bookmarkEnd w:id="97"/>
      <w:bookmarkEnd w:id="98"/>
      <w:bookmarkEnd w:id="99"/>
      <w:bookmarkEnd w:id="100"/>
      <w:bookmarkEnd w:id="101"/>
      <w:bookmarkEnd w:id="102"/>
      <w:bookmarkEnd w:id="103"/>
      <w:bookmarkEnd w:id="104"/>
      <w:bookmarkEnd w:id="105"/>
    </w:p>
    <w:p>
      <w:pPr>
        <w:pStyle w:val="116"/>
        <w:spacing w:before="156" w:after="156"/>
        <w:ind w:left="0"/>
      </w:pPr>
      <w:bookmarkStart w:id="106" w:name="_Toc65063204"/>
      <w:r>
        <w:rPr>
          <w:rFonts w:hint="eastAsia"/>
        </w:rPr>
        <w:t>通用要求</w:t>
      </w:r>
      <w:bookmarkEnd w:id="106"/>
    </w:p>
    <w:p>
      <w:pPr>
        <w:pStyle w:val="67"/>
        <w:ind w:firstLine="420"/>
      </w:pPr>
      <w:r>
        <w:rPr>
          <w:rFonts w:hint="eastAsia"/>
        </w:rPr>
        <w:t>器具所具有的特殊功能（如：无线互联、远程控制、视听等功能）应符合相关国家、行业标准的规定。</w:t>
      </w:r>
    </w:p>
    <w:p>
      <w:pPr>
        <w:pStyle w:val="116"/>
        <w:spacing w:before="156" w:after="156"/>
        <w:ind w:left="0"/>
      </w:pPr>
      <w:bookmarkStart w:id="107" w:name="_Toc65063205"/>
      <w:r>
        <w:rPr>
          <w:rFonts w:hint="eastAsia"/>
        </w:rPr>
        <w:t>安全性能</w:t>
      </w:r>
      <w:bookmarkEnd w:id="107"/>
      <w:r>
        <w:rPr>
          <w:rFonts w:hint="eastAsia"/>
        </w:rPr>
        <w:t xml:space="preserve"> </w:t>
      </w:r>
    </w:p>
    <w:p>
      <w:pPr>
        <w:pStyle w:val="67"/>
        <w:autoSpaceDE/>
        <w:autoSpaceDN/>
        <w:ind w:firstLine="420"/>
      </w:pPr>
      <w:r>
        <w:rPr>
          <w:rFonts w:hint="eastAsia"/>
        </w:rPr>
        <w:t>器具的安全性能应符合相关国家标准的规定。</w:t>
      </w:r>
    </w:p>
    <w:p>
      <w:pPr>
        <w:pStyle w:val="116"/>
        <w:spacing w:before="156" w:after="156"/>
        <w:ind w:left="0"/>
      </w:pPr>
      <w:bookmarkStart w:id="108" w:name="_Toc65063206"/>
      <w:r>
        <w:rPr>
          <w:rFonts w:hint="eastAsia"/>
        </w:rPr>
        <w:t>空气性能</w:t>
      </w:r>
      <w:bookmarkEnd w:id="108"/>
    </w:p>
    <w:p>
      <w:pPr>
        <w:pStyle w:val="176"/>
        <w:ind w:left="0"/>
      </w:pPr>
      <w:r>
        <w:rPr>
          <w:rFonts w:hint="eastAsia"/>
        </w:rPr>
        <w:t>按附录A的方法进行试验，器具在额定电压、额定频率下，以最高转速档运转，其明示值应符合表2的规定。</w:t>
      </w:r>
    </w:p>
    <w:p>
      <w:pPr>
        <w:pStyle w:val="123"/>
        <w:spacing w:before="156" w:after="156"/>
        <w:ind w:left="0"/>
      </w:pPr>
      <w:r>
        <w:rPr>
          <w:rFonts w:hint="eastAsia"/>
        </w:rPr>
        <w:t>空气性能限定值</w:t>
      </w:r>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667"/>
        <w:gridCol w:w="46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4667" w:type="dxa"/>
            <w:tcBorders>
              <w:top w:val="single" w:color="auto" w:sz="8" w:space="0"/>
              <w:bottom w:val="single" w:color="auto" w:sz="8" w:space="0"/>
            </w:tcBorders>
            <w:shd w:val="clear" w:color="auto" w:fill="auto"/>
            <w:vAlign w:val="center"/>
          </w:tcPr>
          <w:p>
            <w:pPr>
              <w:pStyle w:val="189"/>
            </w:pPr>
            <w:r>
              <w:t>指标名称</w:t>
            </w:r>
          </w:p>
        </w:tc>
        <w:tc>
          <w:tcPr>
            <w:tcW w:w="4667" w:type="dxa"/>
            <w:tcBorders>
              <w:top w:val="single" w:color="auto" w:sz="8" w:space="0"/>
              <w:bottom w:val="single" w:color="auto" w:sz="8" w:space="0"/>
            </w:tcBorders>
            <w:shd w:val="clear" w:color="auto" w:fill="auto"/>
            <w:vAlign w:val="center"/>
          </w:tcPr>
          <w:p>
            <w:pPr>
              <w:pStyle w:val="189"/>
            </w:pPr>
            <w:r>
              <w:t>限定值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4667" w:type="dxa"/>
            <w:tcBorders>
              <w:top w:val="single" w:color="auto" w:sz="8" w:space="0"/>
              <w:bottom w:val="single" w:color="auto" w:sz="8" w:space="0"/>
            </w:tcBorders>
            <w:shd w:val="clear" w:color="auto" w:fill="auto"/>
            <w:vAlign w:val="center"/>
          </w:tcPr>
          <w:p>
            <w:pPr>
              <w:pStyle w:val="189"/>
              <w:ind w:firstLine="0" w:firstLineChars="0"/>
              <w:rPr>
                <w:rFonts w:ascii="宋体" w:hAnsi="Times New Roman" w:eastAsia="宋体" w:cs="Times New Roman"/>
                <w:sz w:val="18"/>
                <w:lang w:val="en-US" w:eastAsia="zh-CN" w:bidi="ar-SA"/>
              </w:rPr>
            </w:pPr>
            <w:r>
              <w:t>最大全压效率</w:t>
            </w:r>
            <w:r>
              <w:rPr>
                <w:rFonts w:hint="eastAsia"/>
              </w:rPr>
              <w:t>/%</w:t>
            </w:r>
          </w:p>
        </w:tc>
        <w:tc>
          <w:tcPr>
            <w:tcW w:w="4667" w:type="dxa"/>
            <w:tcBorders>
              <w:top w:val="single" w:color="auto" w:sz="8" w:space="0"/>
              <w:bottom w:val="single" w:color="auto" w:sz="8" w:space="0"/>
            </w:tcBorders>
            <w:shd w:val="clear" w:color="auto" w:fill="auto"/>
            <w:vAlign w:val="top"/>
          </w:tcPr>
          <w:p>
            <w:pPr>
              <w:pStyle w:val="189"/>
              <w:ind w:firstLine="0" w:firstLineChars="0"/>
              <w:rPr>
                <w:rFonts w:ascii="宋体" w:hAnsi="Times New Roman" w:eastAsia="宋体" w:cs="Times New Roman"/>
                <w:sz w:val="18"/>
                <w:lang w:val="en-US" w:eastAsia="zh-CN" w:bidi="ar-SA"/>
              </w:rPr>
            </w:pPr>
            <w:r>
              <w:rPr>
                <w:rFonts w:hint="eastAsia"/>
              </w:rPr>
              <w:t>≥19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4667" w:type="dxa"/>
            <w:tcBorders>
              <w:top w:val="single" w:color="auto" w:sz="8" w:space="0"/>
              <w:bottom w:val="single" w:color="auto" w:sz="8" w:space="0"/>
            </w:tcBorders>
            <w:shd w:val="clear" w:color="auto" w:fill="auto"/>
            <w:vAlign w:val="center"/>
          </w:tcPr>
          <w:p>
            <w:pPr>
              <w:pStyle w:val="189"/>
              <w:ind w:firstLine="0" w:firstLineChars="0"/>
              <w:rPr>
                <w:rFonts w:ascii="宋体" w:hAnsi="Times New Roman" w:eastAsia="宋体" w:cs="Times New Roman"/>
                <w:sz w:val="18"/>
                <w:lang w:val="en-US" w:eastAsia="zh-CN" w:bidi="ar-SA"/>
              </w:rPr>
            </w:pPr>
            <w:r>
              <w:rPr>
                <w:rFonts w:hint="eastAsia"/>
              </w:rPr>
              <w:t>工作风量/（m</w:t>
            </w:r>
            <w:r>
              <w:rPr>
                <w:rFonts w:hint="eastAsia"/>
                <w:vertAlign w:val="superscript"/>
              </w:rPr>
              <w:t>3</w:t>
            </w:r>
            <w:r>
              <w:rPr>
                <w:rFonts w:hint="eastAsia"/>
              </w:rPr>
              <w:t>/min）</w:t>
            </w:r>
          </w:p>
        </w:tc>
        <w:tc>
          <w:tcPr>
            <w:tcW w:w="4667" w:type="dxa"/>
            <w:tcBorders>
              <w:top w:val="single" w:color="auto" w:sz="8" w:space="0"/>
              <w:bottom w:val="single" w:color="auto" w:sz="8" w:space="0"/>
            </w:tcBorders>
            <w:shd w:val="clear" w:color="auto" w:fill="auto"/>
            <w:vAlign w:val="top"/>
          </w:tcPr>
          <w:p>
            <w:pPr>
              <w:pStyle w:val="189"/>
              <w:ind w:firstLine="0" w:firstLineChars="0"/>
              <w:rPr>
                <w:rFonts w:ascii="宋体" w:hAnsi="Times New Roman" w:eastAsia="宋体" w:cs="Times New Roman"/>
                <w:sz w:val="18"/>
                <w:lang w:val="en-US" w:eastAsia="zh-CN" w:bidi="ar-SA"/>
              </w:rPr>
            </w:pPr>
            <w:r>
              <w:rPr>
                <w:rFonts w:hint="eastAsia"/>
              </w:rPr>
              <w:t>≥</w:t>
            </w:r>
            <w:r>
              <w:t>7</w:t>
            </w:r>
          </w:p>
        </w:tc>
      </w:tr>
    </w:tbl>
    <w:p>
      <w:pPr>
        <w:pStyle w:val="67"/>
        <w:ind w:firstLine="420"/>
      </w:pPr>
    </w:p>
    <w:p>
      <w:pPr>
        <w:pStyle w:val="176"/>
        <w:ind w:left="0"/>
      </w:pPr>
      <w:r>
        <w:rPr>
          <w:rFonts w:hint="eastAsia"/>
        </w:rPr>
        <w:t>工作风量、最大风量、最大静压（如用户使用说明书中标注了最大风量与最大静压值）实测值与明示值的允差不应超过明示值的-10</w:t>
      </w:r>
      <w:r>
        <w:t> </w:t>
      </w:r>
      <w:r>
        <w:rPr>
          <w:rFonts w:hint="eastAsia"/>
        </w:rPr>
        <w:t>%</w:t>
      </w:r>
      <w:r>
        <w:t>。最高转速档下最大</w:t>
      </w:r>
      <w:r>
        <w:rPr>
          <w:rFonts w:hint="eastAsia"/>
        </w:rPr>
        <w:t>全压效率的实测值不应低于明示值。</w:t>
      </w:r>
    </w:p>
    <w:p>
      <w:pPr>
        <w:pStyle w:val="176"/>
        <w:ind w:left="0"/>
      </w:pPr>
      <w:r>
        <w:rPr>
          <w:rFonts w:hint="eastAsia"/>
        </w:rPr>
        <w:t>按照附录A的方法进行试验，无论从最大风量端开始测量，还是从最大静压端开始测量，</w:t>
      </w:r>
      <w:r>
        <w:t>两者得到的特性曲线应一致。</w:t>
      </w:r>
    </w:p>
    <w:p>
      <w:pPr>
        <w:pStyle w:val="116"/>
        <w:spacing w:before="156" w:after="156"/>
        <w:ind w:left="0"/>
      </w:pPr>
      <w:bookmarkStart w:id="109" w:name="_Toc65063207"/>
      <w:r>
        <w:rPr>
          <w:rFonts w:hint="eastAsia"/>
        </w:rPr>
        <w:t>噪声</w:t>
      </w:r>
      <w:bookmarkEnd w:id="109"/>
    </w:p>
    <w:p>
      <w:pPr>
        <w:pStyle w:val="76"/>
        <w:spacing w:before="156" w:after="156"/>
        <w:ind w:left="0"/>
        <w:rPr>
          <w:strike/>
        </w:rPr>
      </w:pPr>
      <w:r>
        <w:rPr>
          <w:rFonts w:hint="eastAsia"/>
        </w:rPr>
        <w:t>半消声室噪声</w:t>
      </w:r>
    </w:p>
    <w:p>
      <w:pPr>
        <w:pStyle w:val="175"/>
      </w:pPr>
      <w:r>
        <w:rPr>
          <w:rFonts w:hint="eastAsia"/>
        </w:rPr>
        <w:t>按照附录B的方法进行试验，器具在额定电压、额定频率下，以最高转速档运转，其明示值应符合表3的规定。</w:t>
      </w:r>
    </w:p>
    <w:p>
      <w:pPr>
        <w:pStyle w:val="123"/>
        <w:spacing w:before="156" w:after="156"/>
        <w:ind w:left="0"/>
      </w:pPr>
      <w:r>
        <w:rPr>
          <w:rFonts w:hint="eastAsia"/>
        </w:rPr>
        <w:t>半消声室噪声限定值</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667"/>
        <w:gridCol w:w="4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4667" w:type="dxa"/>
            <w:tcBorders>
              <w:top w:val="single" w:color="auto" w:sz="8" w:space="0"/>
              <w:left w:val="single" w:color="auto" w:sz="8" w:space="0"/>
              <w:bottom w:val="single" w:color="auto" w:sz="8" w:space="0"/>
            </w:tcBorders>
            <w:shd w:val="clear" w:color="auto" w:fill="auto"/>
          </w:tcPr>
          <w:p>
            <w:pPr>
              <w:pStyle w:val="189"/>
            </w:pPr>
            <w:r>
              <w:rPr>
                <w:rFonts w:hint="eastAsia"/>
              </w:rPr>
              <w:t>最大风量</w:t>
            </w:r>
          </w:p>
          <w:p>
            <w:pPr>
              <w:pStyle w:val="189"/>
            </w:pPr>
            <w:r>
              <w:rPr>
                <w:rFonts w:hint="eastAsia"/>
              </w:rPr>
              <w:t>m</w:t>
            </w:r>
            <w:r>
              <w:rPr>
                <w:rFonts w:hint="eastAsia"/>
                <w:vertAlign w:val="superscript"/>
              </w:rPr>
              <w:t>3</w:t>
            </w:r>
            <w:r>
              <w:rPr>
                <w:rFonts w:hint="eastAsia"/>
              </w:rPr>
              <w:t>/min</w:t>
            </w:r>
          </w:p>
        </w:tc>
        <w:tc>
          <w:tcPr>
            <w:tcW w:w="4667" w:type="dxa"/>
            <w:tcBorders>
              <w:top w:val="single" w:color="auto" w:sz="8" w:space="0"/>
              <w:bottom w:val="single" w:color="auto" w:sz="8" w:space="0"/>
              <w:right w:val="single" w:color="auto" w:sz="8" w:space="0"/>
            </w:tcBorders>
            <w:shd w:val="clear" w:color="auto" w:fill="auto"/>
          </w:tcPr>
          <w:p>
            <w:pPr>
              <w:pStyle w:val="189"/>
            </w:pPr>
            <w:r>
              <w:rPr>
                <w:rFonts w:hint="eastAsia"/>
              </w:rPr>
              <w:t>半消声室噪声限定值</w:t>
            </w:r>
          </w:p>
          <w:p>
            <w:pPr>
              <w:pStyle w:val="189"/>
            </w:pPr>
            <w:r>
              <w:rPr>
                <w:rFonts w:hint="eastAsia"/>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Borders>
              <w:top w:val="single" w:color="auto" w:sz="8" w:space="0"/>
              <w:left w:val="single" w:color="auto" w:sz="8" w:space="0"/>
            </w:tcBorders>
            <w:shd w:val="clear" w:color="auto" w:fill="auto"/>
          </w:tcPr>
          <w:p>
            <w:pPr>
              <w:pStyle w:val="189"/>
            </w:pPr>
            <w:r>
              <w:rPr>
                <w:rFonts w:hint="eastAsia" w:hAnsi="宋体"/>
              </w:rPr>
              <w:t>≤</w:t>
            </w:r>
            <w:r>
              <w:rPr>
                <w:rFonts w:hint="eastAsia"/>
              </w:rPr>
              <w:t>10</w:t>
            </w:r>
          </w:p>
        </w:tc>
        <w:tc>
          <w:tcPr>
            <w:tcW w:w="4667" w:type="dxa"/>
            <w:tcBorders>
              <w:top w:val="single" w:color="auto" w:sz="8" w:space="0"/>
              <w:right w:val="single" w:color="auto" w:sz="8" w:space="0"/>
            </w:tcBorders>
            <w:shd w:val="clear" w:color="auto" w:fill="auto"/>
          </w:tcPr>
          <w:p>
            <w:pPr>
              <w:pStyle w:val="189"/>
            </w:pPr>
            <w:r>
              <w:rPr>
                <w:rFonts w:hint="eastAsia"/>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Borders>
              <w:left w:val="single" w:color="auto" w:sz="8" w:space="0"/>
            </w:tcBorders>
            <w:shd w:val="clear" w:color="auto" w:fill="auto"/>
          </w:tcPr>
          <w:p>
            <w:pPr>
              <w:pStyle w:val="189"/>
            </w:pPr>
            <w:r>
              <w:rPr>
                <w:rFonts w:hint="eastAsia"/>
              </w:rPr>
              <w:t>＞10～12</w:t>
            </w:r>
          </w:p>
        </w:tc>
        <w:tc>
          <w:tcPr>
            <w:tcW w:w="4667" w:type="dxa"/>
            <w:tcBorders>
              <w:right w:val="single" w:color="auto" w:sz="8" w:space="0"/>
            </w:tcBorders>
            <w:shd w:val="clear" w:color="auto" w:fill="auto"/>
          </w:tcPr>
          <w:p>
            <w:pPr>
              <w:pStyle w:val="189"/>
            </w:pPr>
            <w:r>
              <w:rPr>
                <w:rFonts w:hint="eastAsia"/>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67" w:type="dxa"/>
            <w:tcBorders>
              <w:left w:val="single" w:color="auto" w:sz="8" w:space="0"/>
            </w:tcBorders>
            <w:shd w:val="clear" w:color="auto" w:fill="auto"/>
          </w:tcPr>
          <w:p>
            <w:pPr>
              <w:pStyle w:val="189"/>
            </w:pPr>
            <w:r>
              <w:rPr>
                <w:rFonts w:hint="eastAsia"/>
              </w:rPr>
              <w:t>≥12～14</w:t>
            </w:r>
          </w:p>
        </w:tc>
        <w:tc>
          <w:tcPr>
            <w:tcW w:w="4667" w:type="dxa"/>
            <w:tcBorders>
              <w:right w:val="single" w:color="auto" w:sz="8" w:space="0"/>
            </w:tcBorders>
            <w:shd w:val="clear" w:color="auto" w:fill="auto"/>
          </w:tcPr>
          <w:p>
            <w:pPr>
              <w:pStyle w:val="189"/>
            </w:pPr>
            <w:r>
              <w:rPr>
                <w:rFonts w:hint="eastAsia"/>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Borders>
              <w:left w:val="single" w:color="auto" w:sz="8" w:space="0"/>
              <w:bottom w:val="single" w:color="auto" w:sz="8" w:space="0"/>
            </w:tcBorders>
            <w:shd w:val="clear" w:color="auto" w:fill="auto"/>
          </w:tcPr>
          <w:p>
            <w:pPr>
              <w:pStyle w:val="189"/>
            </w:pPr>
            <w:r>
              <w:rPr>
                <w:rFonts w:hint="eastAsia"/>
              </w:rPr>
              <w:t>≥14</w:t>
            </w:r>
          </w:p>
        </w:tc>
        <w:tc>
          <w:tcPr>
            <w:tcW w:w="4667" w:type="dxa"/>
            <w:tcBorders>
              <w:bottom w:val="single" w:color="auto" w:sz="8" w:space="0"/>
              <w:right w:val="single" w:color="auto" w:sz="8" w:space="0"/>
            </w:tcBorders>
            <w:shd w:val="clear" w:color="auto" w:fill="auto"/>
          </w:tcPr>
          <w:p>
            <w:pPr>
              <w:pStyle w:val="189"/>
            </w:pPr>
            <w:r>
              <w:rPr>
                <w:rFonts w:hint="eastAsia"/>
              </w:rPr>
              <w:t>≤71</w:t>
            </w:r>
          </w:p>
        </w:tc>
      </w:tr>
    </w:tbl>
    <w:p>
      <w:pPr>
        <w:pStyle w:val="67"/>
        <w:ind w:firstLine="420"/>
      </w:pPr>
    </w:p>
    <w:p>
      <w:pPr>
        <w:pStyle w:val="175"/>
      </w:pPr>
      <w:r>
        <w:rPr>
          <w:rFonts w:hint="eastAsia"/>
        </w:rPr>
        <w:t>短时工作升速档的持续运转时间不应超过3</w:t>
      </w:r>
      <w:r>
        <w:t> </w:t>
      </w:r>
      <w:r>
        <w:rPr>
          <w:rFonts w:hint="eastAsia"/>
        </w:rPr>
        <w:t>min。</w:t>
      </w:r>
    </w:p>
    <w:p>
      <w:pPr>
        <w:pStyle w:val="175"/>
      </w:pPr>
      <w:r>
        <w:rPr>
          <w:rFonts w:hint="eastAsia"/>
        </w:rPr>
        <w:t>产品在铭牌、说明书和广告上明示的半消声室噪声仅允许标注A声功率级。</w:t>
      </w:r>
    </w:p>
    <w:p>
      <w:pPr>
        <w:pStyle w:val="175"/>
      </w:pPr>
      <w:r>
        <w:rPr>
          <w:rFonts w:hint="eastAsia"/>
        </w:rPr>
        <w:t>最高转速档和短时工作升速档下实测值与明示值的允差不应超过+3</w:t>
      </w:r>
      <w:r>
        <w:t> </w:t>
      </w:r>
      <w:r>
        <w:rPr>
          <w:rFonts w:hint="eastAsia"/>
        </w:rPr>
        <w:t>dB，且实测值最高不应超过7</w:t>
      </w:r>
      <w:r>
        <w:t>3 </w:t>
      </w:r>
      <w:r>
        <w:rPr>
          <w:rFonts w:hint="eastAsia"/>
        </w:rPr>
        <w:t>dB（A）。</w:t>
      </w:r>
    </w:p>
    <w:p>
      <w:pPr>
        <w:pStyle w:val="76"/>
        <w:spacing w:before="156" w:after="156"/>
        <w:ind w:left="0"/>
      </w:pPr>
      <w:r>
        <w:rPr>
          <w:rFonts w:hint="eastAsia"/>
        </w:rPr>
        <w:t>工作噪声</w:t>
      </w:r>
    </w:p>
    <w:p>
      <w:pPr>
        <w:pStyle w:val="67"/>
        <w:autoSpaceDE/>
        <w:autoSpaceDN/>
        <w:ind w:firstLine="420"/>
      </w:pPr>
      <w:r>
        <w:t>按照附录</w:t>
      </w:r>
      <w:r>
        <w:rPr>
          <w:rFonts w:hint="eastAsia"/>
        </w:rPr>
        <w:t>C的方法进行试验，最高转速档下工作噪声的明示值应不大于7</w:t>
      </w:r>
      <w:r>
        <w:t>2 </w:t>
      </w:r>
      <w:r>
        <w:rPr>
          <w:rFonts w:hint="eastAsia"/>
        </w:rPr>
        <w:t>dB（A），短时工作升速档（如有）下工作噪声的明示值应不大于7</w:t>
      </w:r>
      <w:r>
        <w:t>4 </w:t>
      </w:r>
      <w:r>
        <w:rPr>
          <w:rFonts w:hint="eastAsia"/>
        </w:rPr>
        <w:t>dB（A），且实测值不应高于明示值。</w:t>
      </w:r>
    </w:p>
    <w:p>
      <w:pPr>
        <w:pStyle w:val="116"/>
        <w:spacing w:before="156" w:after="156"/>
        <w:ind w:left="0"/>
      </w:pPr>
      <w:bookmarkStart w:id="110" w:name="_Toc65063209"/>
      <w:r>
        <w:rPr>
          <w:rFonts w:hint="eastAsia"/>
        </w:rPr>
        <w:t>照明</w:t>
      </w:r>
      <w:bookmarkEnd w:id="110"/>
    </w:p>
    <w:p>
      <w:pPr>
        <w:pStyle w:val="176"/>
        <w:ind w:left="0"/>
      </w:pPr>
      <w:r>
        <w:rPr>
          <w:rFonts w:hint="eastAsia"/>
        </w:rPr>
        <w:t>用视检和通电操作的方法，对器具的照明灯和灯罩进行检查，照明灯应发光正常，灯罩无开裂、变形，且透光良好。</w:t>
      </w:r>
    </w:p>
    <w:p>
      <w:pPr>
        <w:pStyle w:val="176"/>
        <w:ind w:left="0"/>
      </w:pPr>
      <w:r>
        <w:rPr>
          <w:rFonts w:hint="eastAsia"/>
        </w:rPr>
        <w:t>器具照明用的灯座应符合GB/T 1312、GB/T 17935和GB/T 17936的规定。</w:t>
      </w:r>
    </w:p>
    <w:p>
      <w:pPr>
        <w:pStyle w:val="176"/>
        <w:ind w:left="0"/>
      </w:pPr>
      <w:r>
        <w:t>参照附录D</w:t>
      </w:r>
      <w:r>
        <w:rPr>
          <w:rFonts w:hint="eastAsia"/>
        </w:rPr>
        <w:t>进行试验，对器具的照明灯照度进行评估。</w:t>
      </w:r>
    </w:p>
    <w:p>
      <w:pPr>
        <w:pStyle w:val="116"/>
        <w:spacing w:before="156" w:after="156"/>
        <w:ind w:left="0"/>
        <w:rPr>
          <w:strike/>
        </w:rPr>
      </w:pPr>
      <w:bookmarkStart w:id="111" w:name="_Toc65063210"/>
      <w:r>
        <w:rPr>
          <w:rFonts w:hint="eastAsia"/>
        </w:rPr>
        <w:t>叶轮</w:t>
      </w:r>
      <w:bookmarkEnd w:id="111"/>
      <w:r>
        <w:rPr>
          <w:rFonts w:hint="eastAsia"/>
        </w:rPr>
        <w:t>平稳性</w:t>
      </w:r>
    </w:p>
    <w:p>
      <w:pPr>
        <w:pStyle w:val="67"/>
        <w:ind w:firstLine="420"/>
      </w:pPr>
      <w:r>
        <w:rPr>
          <w:rFonts w:hint="eastAsia"/>
        </w:rPr>
        <w:t>用视检和通电运转的方法进行检查，器具各部件应安装牢固可靠，运行时无明显的偏摆、振动和异响，不应与相关的零部件相摩擦。</w:t>
      </w:r>
    </w:p>
    <w:p>
      <w:pPr>
        <w:pStyle w:val="116"/>
        <w:spacing w:before="156" w:after="156"/>
        <w:ind w:left="0"/>
      </w:pPr>
      <w:bookmarkStart w:id="112" w:name="_Toc65063211"/>
      <w:r>
        <w:rPr>
          <w:rFonts w:hint="eastAsia"/>
        </w:rPr>
        <w:t>外观</w:t>
      </w:r>
      <w:bookmarkEnd w:id="112"/>
    </w:p>
    <w:p>
      <w:pPr>
        <w:pStyle w:val="67"/>
        <w:ind w:firstLine="420"/>
      </w:pPr>
      <w:r>
        <w:rPr>
          <w:rFonts w:hint="eastAsia"/>
        </w:rPr>
        <w:t>器具在正常使用和维护保养期间，不得有割手等伤害人体的缺陷，按6.</w:t>
      </w:r>
      <w:r>
        <w:t>4进行试验，器具在正常使用时易触及部位不应有</w:t>
      </w:r>
      <w:r>
        <w:rPr>
          <w:rFonts w:hint="eastAsia"/>
        </w:rPr>
        <w:t>锐利边缘等伤害人体的缺陷。</w:t>
      </w:r>
    </w:p>
    <w:p>
      <w:pPr>
        <w:pStyle w:val="116"/>
        <w:spacing w:before="156" w:after="156"/>
        <w:ind w:left="0"/>
      </w:pPr>
      <w:bookmarkStart w:id="113" w:name="_Toc65063212"/>
      <w:r>
        <w:rPr>
          <w:rFonts w:hint="eastAsia"/>
        </w:rPr>
        <w:t>寿命</w:t>
      </w:r>
      <w:bookmarkEnd w:id="113"/>
    </w:p>
    <w:p>
      <w:pPr>
        <w:pStyle w:val="176"/>
        <w:ind w:left="0"/>
      </w:pPr>
      <w:r>
        <w:rPr>
          <w:rFonts w:hint="eastAsia"/>
        </w:rPr>
        <w:t>按照6.</w:t>
      </w:r>
      <w:r>
        <w:t>5</w:t>
      </w:r>
      <w:r>
        <w:rPr>
          <w:rFonts w:hint="eastAsia"/>
        </w:rPr>
        <w:t>.1进行试验，开关不应损坏或控制失灵。</w:t>
      </w:r>
    </w:p>
    <w:p>
      <w:pPr>
        <w:pStyle w:val="176"/>
        <w:ind w:left="0"/>
      </w:pPr>
      <w:r>
        <w:rPr>
          <w:rFonts w:hint="eastAsia"/>
        </w:rPr>
        <w:t>按照6.</w:t>
      </w:r>
      <w:r>
        <w:t>5</w:t>
      </w:r>
      <w:r>
        <w:rPr>
          <w:rFonts w:hint="eastAsia"/>
        </w:rPr>
        <w:t>.2进行试验，器具在6</w:t>
      </w:r>
      <w:r>
        <w:t>.1规定的条件下</w:t>
      </w:r>
      <w:r>
        <w:rPr>
          <w:rFonts w:hint="eastAsia"/>
        </w:rPr>
        <w:t>，应仍能正常运转。</w:t>
      </w:r>
    </w:p>
    <w:p>
      <w:pPr>
        <w:pStyle w:val="116"/>
        <w:spacing w:before="156" w:after="156"/>
        <w:ind w:left="0"/>
      </w:pPr>
      <w:bookmarkStart w:id="114" w:name="_Toc65063213"/>
      <w:r>
        <w:rPr>
          <w:rFonts w:hint="eastAsia"/>
        </w:rPr>
        <w:t>气味降低度</w:t>
      </w:r>
      <w:bookmarkEnd w:id="114"/>
    </w:p>
    <w:p>
      <w:pPr>
        <w:pStyle w:val="67"/>
        <w:autoSpaceDE/>
        <w:autoSpaceDN/>
        <w:ind w:firstLine="420"/>
      </w:pPr>
      <w:r>
        <w:rPr>
          <w:rFonts w:hint="eastAsia"/>
        </w:rPr>
        <w:t>按照附录</w:t>
      </w:r>
      <w:r>
        <w:t>E</w:t>
      </w:r>
      <w:r>
        <w:rPr>
          <w:rFonts w:hint="eastAsia"/>
        </w:rPr>
        <w:t>的方法进行试验，器具瞬时气味降低度应不小于60</w:t>
      </w:r>
      <w:r>
        <w:t> </w:t>
      </w:r>
      <w:r>
        <w:rPr>
          <w:rFonts w:hint="eastAsia"/>
        </w:rPr>
        <w:t>%。</w:t>
      </w:r>
    </w:p>
    <w:p>
      <w:pPr>
        <w:pStyle w:val="116"/>
        <w:spacing w:before="156" w:after="156"/>
        <w:ind w:left="0"/>
      </w:pPr>
      <w:bookmarkStart w:id="115" w:name="_Toc65063214"/>
      <w:r>
        <w:rPr>
          <w:rFonts w:hint="eastAsia"/>
        </w:rPr>
        <w:t>油脂分离度</w:t>
      </w:r>
      <w:bookmarkEnd w:id="115"/>
    </w:p>
    <w:p>
      <w:pPr>
        <w:pStyle w:val="67"/>
        <w:autoSpaceDE/>
        <w:autoSpaceDN/>
        <w:ind w:firstLine="420"/>
      </w:pPr>
      <w:r>
        <w:rPr>
          <w:rFonts w:hint="eastAsia"/>
        </w:rPr>
        <w:t>按照附录</w:t>
      </w:r>
      <w:r>
        <w:t>F</w:t>
      </w:r>
      <w:r>
        <w:rPr>
          <w:rFonts w:hint="eastAsia"/>
        </w:rPr>
        <w:t>的方法进行试验，器具的油脂分离度应不小于85</w:t>
      </w:r>
      <w:r>
        <w:t> </w:t>
      </w:r>
      <w:r>
        <w:rPr>
          <w:rFonts w:hint="eastAsia"/>
        </w:rPr>
        <w:t>%。</w:t>
      </w:r>
    </w:p>
    <w:p>
      <w:pPr>
        <w:pStyle w:val="116"/>
        <w:spacing w:before="156" w:after="156"/>
        <w:ind w:left="0"/>
      </w:pPr>
      <w:bookmarkStart w:id="116" w:name="_Toc65063215"/>
      <w:r>
        <w:rPr>
          <w:rFonts w:hint="eastAsia"/>
        </w:rPr>
        <w:t>包装性能</w:t>
      </w:r>
      <w:bookmarkEnd w:id="116"/>
    </w:p>
    <w:p>
      <w:pPr>
        <w:pStyle w:val="176"/>
        <w:ind w:left="0"/>
      </w:pPr>
      <w:r>
        <w:rPr>
          <w:rFonts w:hint="eastAsia"/>
        </w:rPr>
        <w:t>器具包装应按照GB/T 1019—2008规定的防振包装进行包装箱的设计和定型。</w:t>
      </w:r>
    </w:p>
    <w:p>
      <w:pPr>
        <w:pStyle w:val="176"/>
        <w:ind w:left="0"/>
      </w:pPr>
      <w:r>
        <w:rPr>
          <w:rFonts w:hint="eastAsia"/>
        </w:rPr>
        <w:t>按GB</w:t>
      </w:r>
      <w:r>
        <w:t xml:space="preserve">/T </w:t>
      </w:r>
      <w:r>
        <w:rPr>
          <w:rFonts w:hint="eastAsia"/>
        </w:rPr>
        <w:t>1019—2008中“不能倒置产品”的“流通条件2”的类别，对包装好的器具进行跌落试验，其结果应符合该标准5</w:t>
      </w:r>
      <w:r>
        <w:t>.9.3的要求</w:t>
      </w:r>
      <w:r>
        <w:rPr>
          <w:rFonts w:hint="eastAsia"/>
        </w:rPr>
        <w:t>。</w:t>
      </w:r>
    </w:p>
    <w:p>
      <w:pPr>
        <w:pStyle w:val="176"/>
        <w:ind w:left="0"/>
      </w:pPr>
      <w:r>
        <w:rPr>
          <w:rFonts w:hint="eastAsia"/>
        </w:rPr>
        <w:t>按GB</w:t>
      </w:r>
      <w:r>
        <w:t xml:space="preserve">/T </w:t>
      </w:r>
      <w:r>
        <w:rPr>
          <w:rFonts w:hint="eastAsia"/>
        </w:rPr>
        <w:t>1019—2008对包装好的器具进行堆码试验，其结果应符合该标准</w:t>
      </w:r>
      <w:r>
        <w:t>5.7的要求</w:t>
      </w:r>
      <w:r>
        <w:rPr>
          <w:rFonts w:hint="eastAsia"/>
        </w:rPr>
        <w:t>。</w:t>
      </w:r>
    </w:p>
    <w:p>
      <w:pPr>
        <w:pStyle w:val="176"/>
        <w:ind w:left="0"/>
      </w:pPr>
      <w:r>
        <w:rPr>
          <w:rFonts w:hint="eastAsia"/>
        </w:rPr>
        <w:t>按GB</w:t>
      </w:r>
      <w:r>
        <w:t xml:space="preserve">/T </w:t>
      </w:r>
      <w:r>
        <w:rPr>
          <w:rFonts w:hint="eastAsia"/>
        </w:rPr>
        <w:t>1019—2008对包装好的器具进行振动试验，其结果应符合该标准4</w:t>
      </w:r>
      <w:r>
        <w:t>.5的</w:t>
      </w:r>
      <w:r>
        <w:rPr>
          <w:rFonts w:hint="eastAsia"/>
        </w:rPr>
        <w:t>要求。</w:t>
      </w:r>
    </w:p>
    <w:p>
      <w:pPr>
        <w:pStyle w:val="115"/>
        <w:spacing w:before="312" w:after="312"/>
      </w:pPr>
      <w:bookmarkStart w:id="117" w:name="_Toc66814520"/>
      <w:bookmarkStart w:id="118" w:name="_Toc66815974"/>
      <w:bookmarkStart w:id="119" w:name="_Toc66866028"/>
      <w:bookmarkStart w:id="120" w:name="_Toc67317833"/>
      <w:bookmarkStart w:id="121" w:name="_Toc67317889"/>
      <w:bookmarkStart w:id="122" w:name="_Toc67318107"/>
      <w:bookmarkStart w:id="123" w:name="_Toc67426327"/>
      <w:bookmarkStart w:id="124" w:name="_Toc67429511"/>
      <w:bookmarkStart w:id="125" w:name="_Toc67429547"/>
      <w:bookmarkStart w:id="126" w:name="_Toc67430095"/>
      <w:bookmarkStart w:id="127" w:name="_Toc65063217"/>
      <w:bookmarkStart w:id="128" w:name="_Toc65063273"/>
      <w:r>
        <w:rPr>
          <w:rFonts w:hint="eastAsia"/>
        </w:rPr>
        <w:t>试验方法</w:t>
      </w:r>
      <w:bookmarkEnd w:id="117"/>
      <w:bookmarkEnd w:id="118"/>
      <w:bookmarkEnd w:id="119"/>
      <w:bookmarkEnd w:id="120"/>
      <w:bookmarkEnd w:id="121"/>
      <w:bookmarkEnd w:id="122"/>
      <w:bookmarkEnd w:id="123"/>
      <w:bookmarkEnd w:id="124"/>
      <w:bookmarkEnd w:id="125"/>
      <w:bookmarkEnd w:id="126"/>
      <w:bookmarkEnd w:id="127"/>
      <w:bookmarkEnd w:id="128"/>
    </w:p>
    <w:p>
      <w:pPr>
        <w:pStyle w:val="116"/>
        <w:spacing w:before="156" w:after="156"/>
        <w:ind w:left="0"/>
      </w:pPr>
      <w:r>
        <w:t>一般试验条件</w:t>
      </w:r>
    </w:p>
    <w:p>
      <w:pPr>
        <w:pStyle w:val="67"/>
        <w:ind w:firstLine="420"/>
      </w:pPr>
      <w:r>
        <w:rPr>
          <w:rFonts w:hint="eastAsia"/>
        </w:rPr>
        <w:t>除对试验条件已作具体规定外，其余试验应在符合下面环境要求的室内进行。</w:t>
      </w:r>
    </w:p>
    <w:p>
      <w:pPr>
        <w:pStyle w:val="185"/>
        <w:numPr>
          <w:ilvl w:val="0"/>
          <w:numId w:val="40"/>
        </w:numPr>
      </w:pPr>
      <w:r>
        <w:rPr>
          <w:rFonts w:hint="eastAsia"/>
        </w:rPr>
        <w:t>环境温度：20</w:t>
      </w:r>
      <w:r>
        <w:t> </w:t>
      </w:r>
      <w:r>
        <w:rPr>
          <w:rFonts w:hint="eastAsia"/>
        </w:rPr>
        <w:t>℃±5</w:t>
      </w:r>
      <w:r>
        <w:t> </w:t>
      </w:r>
      <w:r>
        <w:rPr>
          <w:rFonts w:hint="eastAsia"/>
        </w:rPr>
        <w:t>℃；</w:t>
      </w:r>
    </w:p>
    <w:p>
      <w:pPr>
        <w:pStyle w:val="185"/>
      </w:pPr>
      <w:r>
        <w:rPr>
          <w:rFonts w:hint="eastAsia"/>
        </w:rPr>
        <w:t>相对湿度：≤90</w:t>
      </w:r>
      <w:r>
        <w:t> </w:t>
      </w:r>
      <w:r>
        <w:rPr>
          <w:rFonts w:hint="eastAsia"/>
        </w:rPr>
        <w:t>%；</w:t>
      </w:r>
    </w:p>
    <w:p>
      <w:pPr>
        <w:pStyle w:val="185"/>
      </w:pPr>
      <w:r>
        <w:rPr>
          <w:rFonts w:hint="eastAsia"/>
        </w:rPr>
        <w:t>大气压力：86</w:t>
      </w:r>
      <w:r>
        <w:t> </w:t>
      </w:r>
      <w:r>
        <w:rPr>
          <w:rFonts w:hint="eastAsia"/>
        </w:rPr>
        <w:t>kPa～106</w:t>
      </w:r>
      <w:r>
        <w:t> </w:t>
      </w:r>
      <w:r>
        <w:rPr>
          <w:rFonts w:hint="eastAsia"/>
        </w:rPr>
        <w:t>kPa。</w:t>
      </w:r>
    </w:p>
    <w:p>
      <w:pPr>
        <w:pStyle w:val="116"/>
        <w:spacing w:before="156" w:after="156"/>
        <w:ind w:left="0"/>
      </w:pPr>
      <w:r>
        <w:rPr>
          <w:rFonts w:hint="eastAsia"/>
        </w:rPr>
        <w:t>试验用的仪器、仪表</w:t>
      </w:r>
    </w:p>
    <w:p>
      <w:pPr>
        <w:pStyle w:val="67"/>
        <w:ind w:firstLine="420"/>
      </w:pPr>
      <w:r>
        <w:rPr>
          <w:rFonts w:hint="eastAsia"/>
        </w:rPr>
        <w:t>除具体试验有特别规定，试验用的仪器、仪表应符合如下规定。</w:t>
      </w:r>
    </w:p>
    <w:p>
      <w:pPr>
        <w:pStyle w:val="185"/>
        <w:numPr>
          <w:ilvl w:val="0"/>
          <w:numId w:val="41"/>
        </w:numPr>
      </w:pPr>
      <w:r>
        <w:rPr>
          <w:rFonts w:hint="eastAsia"/>
        </w:rPr>
        <w:t>频率表、电压表、电流表、功率表：用于型式试验，精度不低于0.5级；用于出厂检验，精度不低1.0级。</w:t>
      </w:r>
    </w:p>
    <w:p>
      <w:pPr>
        <w:pStyle w:val="185"/>
      </w:pPr>
      <w:r>
        <w:rPr>
          <w:rFonts w:hint="eastAsia"/>
        </w:rPr>
        <w:t>温度测量仪表：允许误差为±0.5</w:t>
      </w:r>
      <w:r>
        <w:t> </w:t>
      </w:r>
      <w:r>
        <w:rPr>
          <w:rFonts w:hint="eastAsia"/>
        </w:rPr>
        <w:t>℃。</w:t>
      </w:r>
    </w:p>
    <w:p>
      <w:pPr>
        <w:pStyle w:val="185"/>
      </w:pPr>
      <w:r>
        <w:rPr>
          <w:rFonts w:hint="eastAsia"/>
        </w:rPr>
        <w:t>湿度测量仪表：精度为5</w:t>
      </w:r>
      <w:r>
        <w:t> </w:t>
      </w:r>
      <w:r>
        <w:rPr>
          <w:rFonts w:hint="eastAsia"/>
        </w:rPr>
        <w:t>%。</w:t>
      </w:r>
    </w:p>
    <w:p>
      <w:pPr>
        <w:pStyle w:val="185"/>
      </w:pPr>
      <w:r>
        <w:rPr>
          <w:rFonts w:hint="eastAsia"/>
        </w:rPr>
        <w:t>时间测量仪表：精度为0.1</w:t>
      </w:r>
      <w:r>
        <w:t> </w:t>
      </w:r>
      <w:r>
        <w:rPr>
          <w:rFonts w:hint="eastAsia"/>
        </w:rPr>
        <w:t>s。</w:t>
      </w:r>
    </w:p>
    <w:p>
      <w:pPr>
        <w:pStyle w:val="185"/>
      </w:pPr>
      <w:r>
        <w:rPr>
          <w:rFonts w:hint="eastAsia"/>
        </w:rPr>
        <w:t>转速测量仪器：采用非接触式，精度为±1</w:t>
      </w:r>
      <w:r>
        <w:t> </w:t>
      </w:r>
      <w:r>
        <w:rPr>
          <w:rFonts w:hint="eastAsia"/>
        </w:rPr>
        <w:t>r/min。</w:t>
      </w:r>
    </w:p>
    <w:p>
      <w:pPr>
        <w:pStyle w:val="185"/>
      </w:pPr>
      <w:r>
        <w:rPr>
          <w:rFonts w:hint="eastAsia"/>
        </w:rPr>
        <w:t>环境气压测量仪表：精度为±200</w:t>
      </w:r>
      <w:r>
        <w:t> </w:t>
      </w:r>
      <w:r>
        <w:rPr>
          <w:rFonts w:hint="eastAsia"/>
        </w:rPr>
        <w:t>Pa。</w:t>
      </w:r>
    </w:p>
    <w:p>
      <w:pPr>
        <w:pStyle w:val="185"/>
      </w:pPr>
      <w:r>
        <w:rPr>
          <w:rFonts w:hint="eastAsia"/>
        </w:rPr>
        <w:t>压力测量仪表：误差不超过有效压力的1</w:t>
      </w:r>
      <w:r>
        <w:t> </w:t>
      </w:r>
      <w:r>
        <w:rPr>
          <w:rFonts w:hint="eastAsia"/>
        </w:rPr>
        <w:t>%或1.5</w:t>
      </w:r>
      <w:r>
        <w:t> </w:t>
      </w:r>
      <w:r>
        <w:rPr>
          <w:rFonts w:hint="eastAsia"/>
        </w:rPr>
        <w:t>Pa，取较大值。</w:t>
      </w:r>
    </w:p>
    <w:p>
      <w:pPr>
        <w:pStyle w:val="185"/>
      </w:pPr>
      <w:r>
        <w:rPr>
          <w:rFonts w:hint="eastAsia"/>
        </w:rPr>
        <w:t>长度测量工具：误差为0.5</w:t>
      </w:r>
      <w:r>
        <w:t> </w:t>
      </w:r>
      <w:r>
        <w:rPr>
          <w:rFonts w:hint="eastAsia"/>
        </w:rPr>
        <w:t>mm以内。</w:t>
      </w:r>
    </w:p>
    <w:p>
      <w:pPr>
        <w:pStyle w:val="116"/>
        <w:spacing w:before="156" w:after="156"/>
        <w:ind w:left="0"/>
      </w:pPr>
      <w:bookmarkStart w:id="129" w:name="_Toc65063219"/>
      <w:r>
        <w:rPr>
          <w:rFonts w:hint="eastAsia"/>
        </w:rPr>
        <w:t>安全性能试验</w:t>
      </w:r>
      <w:bookmarkEnd w:id="129"/>
    </w:p>
    <w:p>
      <w:pPr>
        <w:pStyle w:val="67"/>
        <w:autoSpaceDE/>
        <w:autoSpaceDN/>
        <w:ind w:firstLine="420"/>
      </w:pPr>
      <w:r>
        <w:rPr>
          <w:rFonts w:hint="eastAsia"/>
        </w:rPr>
        <w:t>器具安全性能试验应按相关国家标准的规定进行。</w:t>
      </w:r>
    </w:p>
    <w:p>
      <w:pPr>
        <w:pStyle w:val="116"/>
        <w:spacing w:before="156" w:after="156"/>
        <w:ind w:left="0"/>
      </w:pPr>
      <w:bookmarkStart w:id="130" w:name="_Toc65063225"/>
      <w:r>
        <w:rPr>
          <w:rFonts w:hint="eastAsia"/>
        </w:rPr>
        <w:t>外观检查</w:t>
      </w:r>
      <w:bookmarkEnd w:id="130"/>
    </w:p>
    <w:p>
      <w:pPr>
        <w:pStyle w:val="67"/>
        <w:autoSpaceDE/>
        <w:autoSpaceDN/>
        <w:ind w:firstLine="420"/>
      </w:pPr>
      <w:r>
        <w:rPr>
          <w:rFonts w:hint="eastAsia"/>
        </w:rPr>
        <w:t>采用符合T/CAB</w:t>
      </w:r>
      <w:r>
        <w:rPr>
          <w:rFonts w:hint="eastAsia"/>
          <w:lang w:val="en-US" w:eastAsia="zh-CN"/>
        </w:rPr>
        <w:t xml:space="preserve"> 0102-</w:t>
      </w:r>
      <w:r>
        <w:rPr>
          <w:rFonts w:hint="eastAsia"/>
        </w:rPr>
        <w:t>2021中4.2.2要求的锐利边缘测试仪，按以下方法对正常使用时易触及的边缘进行检测：</w:t>
      </w:r>
    </w:p>
    <w:p>
      <w:pPr>
        <w:pStyle w:val="67"/>
        <w:ind w:firstLine="420"/>
      </w:pPr>
      <w:r>
        <w:rPr>
          <w:rFonts w:ascii="Times New Roman"/>
        </w:rPr>
        <w:t>——</w:t>
      </w:r>
      <w:r>
        <w:rPr>
          <w:rFonts w:hint="eastAsia"/>
        </w:rPr>
        <w:t>将测试头套在测试器的测试头上；</w:t>
      </w:r>
    </w:p>
    <w:p>
      <w:pPr>
        <w:pStyle w:val="67"/>
        <w:autoSpaceDE/>
        <w:autoSpaceDN/>
        <w:ind w:firstLine="420"/>
      </w:pPr>
      <w:r>
        <w:rPr>
          <w:rFonts w:ascii="Times New Roman"/>
        </w:rPr>
        <w:t>——</w:t>
      </w:r>
      <w:r>
        <w:rPr>
          <w:rFonts w:hint="eastAsia"/>
        </w:rPr>
        <w:t>把压力测试头放在被测试的边缘上后，使用6</w:t>
      </w:r>
      <w:r>
        <w:t> </w:t>
      </w:r>
      <w:r>
        <w:rPr>
          <w:rFonts w:hint="eastAsia"/>
        </w:rPr>
        <w:t>N的力，紧贴被测试面，平行于被测试边缘移动</w:t>
      </w:r>
      <w:r>
        <w:t>50 </w:t>
      </w:r>
      <w:r>
        <w:rPr>
          <w:rFonts w:hint="eastAsia"/>
        </w:rPr>
        <w:t>mm，然后再返回到起点，总共移动的距离为</w:t>
      </w:r>
      <w:r>
        <w:t>100 </w:t>
      </w:r>
      <w:r>
        <w:rPr>
          <w:rFonts w:hint="eastAsia"/>
        </w:rPr>
        <w:t>mm，长边可分为多个检测段。若测试边缘长度小于</w:t>
      </w:r>
      <w:r>
        <w:t>50 </w:t>
      </w:r>
      <w:r>
        <w:rPr>
          <w:rFonts w:hint="eastAsia"/>
        </w:rPr>
        <w:t>mm，则应以边缘最大长度为限；</w:t>
      </w:r>
    </w:p>
    <w:p>
      <w:pPr>
        <w:pStyle w:val="67"/>
        <w:ind w:firstLine="420"/>
      </w:pPr>
      <w:r>
        <w:rPr>
          <w:rFonts w:ascii="Times New Roman"/>
        </w:rPr>
        <w:t>——</w:t>
      </w:r>
      <w:r>
        <w:rPr>
          <w:rFonts w:hint="eastAsia"/>
        </w:rPr>
        <w:t>每测试完一个检测段后，检查测试头，如果测试头上最外两层被划开，则表明该测试边缘为锐利边缘。</w:t>
      </w:r>
    </w:p>
    <w:p>
      <w:pPr>
        <w:pStyle w:val="116"/>
        <w:spacing w:before="156" w:after="156"/>
        <w:ind w:left="0"/>
      </w:pPr>
      <w:bookmarkStart w:id="131" w:name="_Toc65063226"/>
      <w:r>
        <w:rPr>
          <w:rFonts w:hint="eastAsia"/>
        </w:rPr>
        <w:t>寿命试验</w:t>
      </w:r>
      <w:bookmarkEnd w:id="131"/>
    </w:p>
    <w:p>
      <w:pPr>
        <w:pStyle w:val="176"/>
        <w:ind w:left="0"/>
      </w:pPr>
      <w:r>
        <w:rPr>
          <w:rFonts w:hint="eastAsia"/>
        </w:rPr>
        <w:t>调速开关和照明开关寿命试验可在器具实际工作状态下进行，也可在模拟等效电路中进行。操作频率为12次每分钟，累计试验10</w:t>
      </w:r>
      <w:r>
        <w:t> </w:t>
      </w:r>
      <w:r>
        <w:rPr>
          <w:rFonts w:hint="eastAsia"/>
        </w:rPr>
        <w:t>000次。</w:t>
      </w:r>
    </w:p>
    <w:p>
      <w:pPr>
        <w:pStyle w:val="176"/>
        <w:ind w:left="0"/>
      </w:pPr>
      <w:r>
        <w:rPr>
          <w:rFonts w:hint="eastAsia"/>
        </w:rPr>
        <w:t>整机寿命试验在器具正常试验条件下进行。器具处在最高转速档，每运行4</w:t>
      </w:r>
      <w:r>
        <w:t> </w:t>
      </w:r>
      <w:r>
        <w:rPr>
          <w:rFonts w:hint="eastAsia"/>
        </w:rPr>
        <w:t>h，间歇0.5</w:t>
      </w:r>
      <w:r>
        <w:t> </w:t>
      </w:r>
      <w:r>
        <w:rPr>
          <w:rFonts w:hint="eastAsia"/>
        </w:rPr>
        <w:t>h，累计运行5</w:t>
      </w:r>
      <w:r>
        <w:t> </w:t>
      </w:r>
      <w:r>
        <w:rPr>
          <w:rFonts w:hint="eastAsia"/>
        </w:rPr>
        <w:t>000</w:t>
      </w:r>
      <w:r>
        <w:t> </w:t>
      </w:r>
      <w:r>
        <w:rPr>
          <w:rFonts w:hint="eastAsia"/>
        </w:rPr>
        <w:t>h。</w:t>
      </w:r>
    </w:p>
    <w:p>
      <w:pPr>
        <w:pStyle w:val="115"/>
        <w:spacing w:before="312" w:after="312"/>
      </w:pPr>
      <w:bookmarkStart w:id="132" w:name="_Toc67429512"/>
      <w:bookmarkStart w:id="133" w:name="_Toc67429548"/>
      <w:bookmarkStart w:id="134" w:name="_Toc67430096"/>
      <w:bookmarkStart w:id="135" w:name="_Toc65063231"/>
      <w:bookmarkStart w:id="136" w:name="_Toc65063274"/>
      <w:bookmarkStart w:id="137" w:name="_Toc66814521"/>
      <w:bookmarkStart w:id="138" w:name="_Toc66815975"/>
      <w:bookmarkStart w:id="139" w:name="_Toc66866029"/>
      <w:bookmarkStart w:id="140" w:name="_Toc67317834"/>
      <w:bookmarkStart w:id="141" w:name="_Toc67317890"/>
      <w:bookmarkStart w:id="142" w:name="_Toc67318108"/>
      <w:bookmarkStart w:id="143" w:name="_Toc67426328"/>
      <w:r>
        <w:rPr>
          <w:rFonts w:hint="eastAsia"/>
        </w:rPr>
        <w:t>检验规则</w:t>
      </w:r>
      <w:bookmarkEnd w:id="132"/>
      <w:bookmarkEnd w:id="133"/>
      <w:bookmarkEnd w:id="134"/>
      <w:bookmarkEnd w:id="135"/>
      <w:bookmarkEnd w:id="136"/>
      <w:bookmarkEnd w:id="137"/>
      <w:bookmarkEnd w:id="138"/>
      <w:bookmarkEnd w:id="139"/>
      <w:bookmarkEnd w:id="140"/>
      <w:bookmarkEnd w:id="141"/>
      <w:bookmarkEnd w:id="142"/>
      <w:bookmarkEnd w:id="143"/>
    </w:p>
    <w:p>
      <w:pPr>
        <w:pStyle w:val="116"/>
        <w:spacing w:before="156" w:after="156"/>
        <w:ind w:left="0"/>
      </w:pPr>
      <w:bookmarkStart w:id="144" w:name="_Toc65063232"/>
      <w:r>
        <w:rPr>
          <w:rFonts w:hint="eastAsia"/>
        </w:rPr>
        <w:t>检验分类</w:t>
      </w:r>
      <w:bookmarkEnd w:id="144"/>
    </w:p>
    <w:p>
      <w:pPr>
        <w:pStyle w:val="67"/>
        <w:ind w:firstLine="420"/>
      </w:pPr>
      <w:r>
        <w:rPr>
          <w:rFonts w:hint="eastAsia"/>
        </w:rPr>
        <w:t>器具检验分为出厂检验、抽查检验和型式检验。</w:t>
      </w:r>
    </w:p>
    <w:p>
      <w:pPr>
        <w:pStyle w:val="116"/>
        <w:spacing w:before="156" w:after="156"/>
        <w:ind w:left="0"/>
      </w:pPr>
      <w:bookmarkStart w:id="145" w:name="_Toc65063233"/>
      <w:r>
        <w:rPr>
          <w:rFonts w:hint="eastAsia"/>
        </w:rPr>
        <w:t>出厂检验</w:t>
      </w:r>
      <w:bookmarkEnd w:id="145"/>
    </w:p>
    <w:p>
      <w:pPr>
        <w:pStyle w:val="176"/>
        <w:ind w:left="0"/>
      </w:pPr>
      <w:r>
        <w:rPr>
          <w:rFonts w:hint="eastAsia"/>
        </w:rPr>
        <w:t>每台产品须经出厂检验合格后方能出厂。</w:t>
      </w:r>
    </w:p>
    <w:p>
      <w:pPr>
        <w:pStyle w:val="176"/>
        <w:ind w:left="0"/>
      </w:pPr>
      <w:r>
        <w:rPr>
          <w:rFonts w:hint="eastAsia"/>
        </w:rPr>
        <w:t>出厂检验项目、技术要求和试验方法按表</w:t>
      </w:r>
      <w:r>
        <w:t>4</w:t>
      </w:r>
      <w:r>
        <w:rPr>
          <w:rFonts w:hint="eastAsia"/>
        </w:rPr>
        <w:t>的规定。</w:t>
      </w:r>
    </w:p>
    <w:p>
      <w:pPr>
        <w:pStyle w:val="123"/>
        <w:spacing w:before="156" w:after="156"/>
        <w:ind w:left="0"/>
      </w:pPr>
      <w:r>
        <w:t>出厂检验项目及判定</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3824"/>
        <w:gridCol w:w="3120"/>
        <w:gridCol w:w="1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354" w:type="pct"/>
            <w:tcBorders>
              <w:top w:val="single" w:color="auto" w:sz="8" w:space="0"/>
              <w:left w:val="single" w:color="auto" w:sz="8" w:space="0"/>
              <w:bottom w:val="single" w:color="auto" w:sz="8" w:space="0"/>
            </w:tcBorders>
            <w:vAlign w:val="center"/>
          </w:tcPr>
          <w:p>
            <w:pPr>
              <w:adjustRightInd/>
              <w:spacing w:line="240" w:lineRule="auto"/>
              <w:jc w:val="center"/>
              <w:rPr>
                <w:rFonts w:ascii="宋体" w:hAnsi="宋体"/>
                <w:sz w:val="18"/>
                <w:szCs w:val="18"/>
              </w:rPr>
            </w:pPr>
            <w:r>
              <w:rPr>
                <w:rFonts w:hint="eastAsia" w:ascii="宋体" w:hAnsi="宋体"/>
                <w:sz w:val="18"/>
                <w:szCs w:val="18"/>
              </w:rPr>
              <w:t>序号</w:t>
            </w:r>
          </w:p>
        </w:tc>
        <w:tc>
          <w:tcPr>
            <w:tcW w:w="1998" w:type="pct"/>
            <w:tcBorders>
              <w:top w:val="single" w:color="auto" w:sz="8" w:space="0"/>
              <w:bottom w:val="single" w:color="auto" w:sz="8" w:space="0"/>
            </w:tcBorders>
            <w:vAlign w:val="center"/>
          </w:tcPr>
          <w:p>
            <w:pPr>
              <w:adjustRightInd/>
              <w:spacing w:line="240" w:lineRule="auto"/>
              <w:jc w:val="center"/>
              <w:rPr>
                <w:rFonts w:ascii="宋体" w:hAnsi="宋体"/>
                <w:sz w:val="18"/>
                <w:szCs w:val="18"/>
              </w:rPr>
            </w:pPr>
            <w:r>
              <w:rPr>
                <w:rFonts w:hint="eastAsia" w:ascii="宋体" w:hAnsi="宋体"/>
                <w:sz w:val="18"/>
                <w:szCs w:val="18"/>
              </w:rPr>
              <w:t>检验项目</w:t>
            </w:r>
          </w:p>
        </w:tc>
        <w:tc>
          <w:tcPr>
            <w:tcW w:w="1630" w:type="pct"/>
            <w:tcBorders>
              <w:top w:val="single" w:color="auto" w:sz="8" w:space="0"/>
              <w:bottom w:val="single" w:color="auto" w:sz="8" w:space="0"/>
            </w:tcBorders>
            <w:vAlign w:val="center"/>
          </w:tcPr>
          <w:p>
            <w:pPr>
              <w:spacing w:line="240" w:lineRule="auto"/>
              <w:jc w:val="center"/>
              <w:rPr>
                <w:rFonts w:ascii="宋体" w:hAnsi="宋体"/>
                <w:sz w:val="18"/>
                <w:szCs w:val="18"/>
              </w:rPr>
            </w:pPr>
            <w:r>
              <w:rPr>
                <w:rFonts w:ascii="宋体" w:hAnsi="宋体"/>
                <w:sz w:val="18"/>
                <w:szCs w:val="18"/>
              </w:rPr>
              <w:t>技术要求</w:t>
            </w:r>
          </w:p>
        </w:tc>
        <w:tc>
          <w:tcPr>
            <w:tcW w:w="1018" w:type="pct"/>
            <w:tcBorders>
              <w:top w:val="single" w:color="auto" w:sz="8" w:space="0"/>
              <w:bottom w:val="single" w:color="auto" w:sz="8" w:space="0"/>
              <w:right w:val="single" w:color="auto" w:sz="8" w:space="0"/>
            </w:tcBorders>
            <w:vAlign w:val="center"/>
          </w:tcPr>
          <w:p>
            <w:pPr>
              <w:spacing w:line="240" w:lineRule="auto"/>
              <w:jc w:val="center"/>
              <w:rPr>
                <w:rFonts w:ascii="宋体" w:hAnsi="宋体"/>
                <w:sz w:val="18"/>
                <w:szCs w:val="18"/>
              </w:rPr>
            </w:pPr>
            <w:r>
              <w:rPr>
                <w:rFonts w:ascii="宋体" w:hAnsi="宋体"/>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354" w:type="pct"/>
            <w:tcBorders>
              <w:top w:val="single" w:color="auto" w:sz="8" w:space="0"/>
              <w:left w:val="single" w:color="auto" w:sz="8" w:space="0"/>
            </w:tcBorders>
            <w:vAlign w:val="center"/>
          </w:tcPr>
          <w:p>
            <w:pPr>
              <w:spacing w:line="360" w:lineRule="auto"/>
              <w:jc w:val="center"/>
              <w:rPr>
                <w:rFonts w:ascii="宋体" w:cs="宋体"/>
                <w:sz w:val="18"/>
                <w:szCs w:val="18"/>
              </w:rPr>
            </w:pPr>
            <w:r>
              <w:rPr>
                <w:rFonts w:ascii="宋体" w:cs="宋体"/>
                <w:sz w:val="18"/>
                <w:szCs w:val="18"/>
              </w:rPr>
              <w:t>1</w:t>
            </w:r>
          </w:p>
        </w:tc>
        <w:tc>
          <w:tcPr>
            <w:tcW w:w="1998" w:type="pct"/>
            <w:tcBorders>
              <w:top w:val="single" w:color="auto" w:sz="8" w:space="0"/>
            </w:tcBorders>
            <w:vAlign w:val="center"/>
          </w:tcPr>
          <w:p>
            <w:pPr>
              <w:spacing w:line="360" w:lineRule="auto"/>
              <w:jc w:val="center"/>
              <w:rPr>
                <w:rFonts w:ascii="宋体" w:hAnsi="宋体" w:cs="宋体"/>
                <w:sz w:val="18"/>
                <w:szCs w:val="18"/>
              </w:rPr>
            </w:pPr>
            <w:r>
              <w:rPr>
                <w:rFonts w:hint="eastAsia" w:ascii="宋体" w:hAnsi="宋体"/>
                <w:sz w:val="18"/>
                <w:szCs w:val="18"/>
              </w:rPr>
              <w:t>泄漏电流、电气强度、接地、输入功率和电流</w:t>
            </w:r>
          </w:p>
        </w:tc>
        <w:tc>
          <w:tcPr>
            <w:tcW w:w="1630" w:type="pct"/>
            <w:tcBorders>
              <w:top w:val="single" w:color="auto" w:sz="8" w:space="0"/>
            </w:tcBorders>
            <w:vAlign w:val="center"/>
          </w:tcPr>
          <w:p>
            <w:pPr>
              <w:spacing w:line="360" w:lineRule="auto"/>
              <w:jc w:val="center"/>
              <w:rPr>
                <w:rFonts w:ascii="宋体" w:cs="宋体"/>
                <w:sz w:val="18"/>
                <w:szCs w:val="18"/>
              </w:rPr>
            </w:pPr>
            <w:r>
              <w:rPr>
                <w:rFonts w:hint="eastAsia" w:ascii="宋体" w:cs="宋体"/>
                <w:sz w:val="18"/>
                <w:szCs w:val="18"/>
              </w:rPr>
              <w:t>5.2</w:t>
            </w:r>
          </w:p>
        </w:tc>
        <w:tc>
          <w:tcPr>
            <w:tcW w:w="1018" w:type="pct"/>
            <w:tcBorders>
              <w:top w:val="single" w:color="auto" w:sz="8" w:space="0"/>
              <w:right w:val="single" w:color="auto" w:sz="8" w:space="0"/>
            </w:tcBorders>
            <w:vAlign w:val="center"/>
          </w:tcPr>
          <w:p>
            <w:pPr>
              <w:adjustRightInd/>
              <w:spacing w:line="240" w:lineRule="auto"/>
              <w:jc w:val="center"/>
              <w:rPr>
                <w:rFonts w:ascii="宋体" w:hAnsi="宋体"/>
                <w:sz w:val="18"/>
                <w:szCs w:val="18"/>
              </w:rPr>
            </w:pPr>
            <w:r>
              <w:rPr>
                <w:rFonts w:hint="eastAsia" w:ascii="宋体" w:hAnsi="宋体"/>
                <w:sz w:val="18"/>
                <w:szCs w:val="18"/>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54" w:type="pct"/>
            <w:tcBorders>
              <w:left w:val="single" w:color="auto" w:sz="8" w:space="0"/>
            </w:tcBorders>
          </w:tcPr>
          <w:p>
            <w:pPr>
              <w:spacing w:line="360" w:lineRule="auto"/>
              <w:jc w:val="center"/>
              <w:rPr>
                <w:rFonts w:ascii="宋体" w:hAnsi="宋体" w:cs="宋体"/>
                <w:sz w:val="18"/>
                <w:szCs w:val="18"/>
              </w:rPr>
            </w:pPr>
            <w:r>
              <w:rPr>
                <w:rFonts w:hint="eastAsia" w:ascii="宋体" w:hAnsi="宋体" w:cs="宋体"/>
                <w:sz w:val="18"/>
                <w:szCs w:val="18"/>
              </w:rPr>
              <w:t>2</w:t>
            </w:r>
          </w:p>
        </w:tc>
        <w:tc>
          <w:tcPr>
            <w:tcW w:w="1998" w:type="pct"/>
            <w:vAlign w:val="center"/>
          </w:tcPr>
          <w:p>
            <w:pPr>
              <w:spacing w:line="360" w:lineRule="auto"/>
              <w:jc w:val="center"/>
              <w:rPr>
                <w:rFonts w:ascii="宋体" w:cs="宋体"/>
                <w:sz w:val="18"/>
                <w:szCs w:val="18"/>
              </w:rPr>
            </w:pPr>
            <w:r>
              <w:rPr>
                <w:rFonts w:hint="eastAsia" w:ascii="宋体" w:hAnsi="宋体" w:cs="宋体"/>
                <w:sz w:val="18"/>
                <w:szCs w:val="18"/>
              </w:rPr>
              <w:t>照明</w:t>
            </w:r>
          </w:p>
        </w:tc>
        <w:tc>
          <w:tcPr>
            <w:tcW w:w="1630" w:type="pct"/>
            <w:vAlign w:val="center"/>
          </w:tcPr>
          <w:p>
            <w:pPr>
              <w:spacing w:line="360" w:lineRule="auto"/>
              <w:jc w:val="center"/>
              <w:rPr>
                <w:rFonts w:ascii="宋体" w:cs="宋体"/>
                <w:sz w:val="18"/>
                <w:szCs w:val="18"/>
              </w:rPr>
            </w:pPr>
            <w:r>
              <w:rPr>
                <w:rFonts w:hint="eastAsia" w:ascii="宋体" w:cs="宋体"/>
                <w:sz w:val="18"/>
                <w:szCs w:val="18"/>
              </w:rPr>
              <w:t>5.</w:t>
            </w:r>
            <w:r>
              <w:rPr>
                <w:rFonts w:ascii="宋体" w:cs="宋体"/>
                <w:sz w:val="18"/>
                <w:szCs w:val="18"/>
              </w:rPr>
              <w:t>5</w:t>
            </w:r>
          </w:p>
        </w:tc>
        <w:tc>
          <w:tcPr>
            <w:tcW w:w="1018" w:type="pct"/>
            <w:tcBorders>
              <w:right w:val="single" w:color="auto" w:sz="8" w:space="0"/>
            </w:tcBorders>
            <w:vAlign w:val="center"/>
          </w:tcPr>
          <w:p>
            <w:pPr>
              <w:adjustRightInd/>
              <w:spacing w:line="240" w:lineRule="auto"/>
              <w:jc w:val="center"/>
              <w:rPr>
                <w:rFonts w:ascii="宋体" w:hAnsi="宋体"/>
                <w:sz w:val="18"/>
                <w:szCs w:val="18"/>
              </w:rPr>
            </w:pPr>
            <w:r>
              <w:rPr>
                <w:rFonts w:ascii="宋体" w:hAnsi="宋体"/>
                <w:sz w:val="18"/>
                <w:szCs w:val="18"/>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54" w:type="pct"/>
            <w:tcBorders>
              <w:left w:val="single" w:color="auto" w:sz="8" w:space="0"/>
            </w:tcBorders>
          </w:tcPr>
          <w:p>
            <w:pPr>
              <w:spacing w:line="360" w:lineRule="auto"/>
              <w:jc w:val="center"/>
              <w:rPr>
                <w:rFonts w:ascii="宋体" w:cs="宋体"/>
                <w:sz w:val="18"/>
                <w:szCs w:val="18"/>
              </w:rPr>
            </w:pPr>
            <w:r>
              <w:rPr>
                <w:rFonts w:hint="eastAsia" w:ascii="宋体" w:cs="宋体"/>
                <w:sz w:val="18"/>
                <w:szCs w:val="18"/>
              </w:rPr>
              <w:t>3</w:t>
            </w:r>
          </w:p>
        </w:tc>
        <w:tc>
          <w:tcPr>
            <w:tcW w:w="1998" w:type="pct"/>
            <w:vAlign w:val="center"/>
          </w:tcPr>
          <w:p>
            <w:pPr>
              <w:spacing w:line="360" w:lineRule="auto"/>
              <w:jc w:val="center"/>
              <w:rPr>
                <w:rFonts w:ascii="宋体" w:cs="宋体"/>
                <w:sz w:val="18"/>
                <w:szCs w:val="18"/>
              </w:rPr>
            </w:pPr>
            <w:r>
              <w:rPr>
                <w:rFonts w:ascii="宋体" w:cs="宋体"/>
                <w:sz w:val="18"/>
                <w:szCs w:val="18"/>
              </w:rPr>
              <w:t>叶轮</w:t>
            </w:r>
            <w:r>
              <w:rPr>
                <w:rFonts w:hint="eastAsia" w:ascii="宋体" w:cs="宋体"/>
                <w:sz w:val="18"/>
                <w:szCs w:val="18"/>
              </w:rPr>
              <w:t>平稳性</w:t>
            </w:r>
          </w:p>
        </w:tc>
        <w:tc>
          <w:tcPr>
            <w:tcW w:w="1630" w:type="pct"/>
            <w:vAlign w:val="center"/>
          </w:tcPr>
          <w:p>
            <w:pPr>
              <w:spacing w:line="360" w:lineRule="auto"/>
              <w:jc w:val="center"/>
              <w:rPr>
                <w:rFonts w:ascii="宋体" w:cs="宋体"/>
                <w:sz w:val="18"/>
                <w:szCs w:val="18"/>
              </w:rPr>
            </w:pPr>
            <w:r>
              <w:rPr>
                <w:rFonts w:hint="eastAsia" w:ascii="宋体" w:cs="宋体"/>
                <w:sz w:val="18"/>
                <w:szCs w:val="18"/>
              </w:rPr>
              <w:t>5.</w:t>
            </w:r>
            <w:r>
              <w:rPr>
                <w:rFonts w:ascii="宋体" w:cs="宋体"/>
                <w:sz w:val="18"/>
                <w:szCs w:val="18"/>
              </w:rPr>
              <w:t>6</w:t>
            </w:r>
          </w:p>
        </w:tc>
        <w:tc>
          <w:tcPr>
            <w:tcW w:w="1018" w:type="pct"/>
            <w:tcBorders>
              <w:right w:val="single" w:color="auto" w:sz="8" w:space="0"/>
            </w:tcBorders>
            <w:vAlign w:val="center"/>
          </w:tcPr>
          <w:p>
            <w:pPr>
              <w:adjustRightInd/>
              <w:spacing w:line="240" w:lineRule="auto"/>
              <w:jc w:val="center"/>
              <w:rPr>
                <w:rFonts w:ascii="宋体" w:hAnsi="宋体"/>
                <w:sz w:val="18"/>
                <w:szCs w:val="18"/>
              </w:rPr>
            </w:pPr>
            <w:r>
              <w:rPr>
                <w:rFonts w:ascii="宋体" w:hAnsi="宋体"/>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54" w:type="pct"/>
            <w:tcBorders>
              <w:left w:val="single" w:color="auto" w:sz="8" w:space="0"/>
              <w:bottom w:val="single" w:color="auto" w:sz="4" w:space="0"/>
            </w:tcBorders>
          </w:tcPr>
          <w:p>
            <w:pPr>
              <w:spacing w:line="360" w:lineRule="auto"/>
              <w:jc w:val="center"/>
              <w:rPr>
                <w:rFonts w:ascii="宋体" w:cs="宋体"/>
                <w:sz w:val="18"/>
                <w:szCs w:val="18"/>
              </w:rPr>
            </w:pPr>
            <w:r>
              <w:rPr>
                <w:rFonts w:ascii="宋体" w:hAnsi="宋体" w:cs="宋体"/>
                <w:sz w:val="18"/>
                <w:szCs w:val="18"/>
              </w:rPr>
              <w:t>4</w:t>
            </w:r>
          </w:p>
        </w:tc>
        <w:tc>
          <w:tcPr>
            <w:tcW w:w="1998" w:type="pct"/>
            <w:tcBorders>
              <w:bottom w:val="single" w:color="auto" w:sz="4" w:space="0"/>
            </w:tcBorders>
            <w:vAlign w:val="center"/>
          </w:tcPr>
          <w:p>
            <w:pPr>
              <w:spacing w:line="360" w:lineRule="auto"/>
              <w:jc w:val="center"/>
              <w:rPr>
                <w:rFonts w:ascii="宋体" w:cs="宋体"/>
                <w:sz w:val="18"/>
                <w:szCs w:val="18"/>
              </w:rPr>
            </w:pPr>
            <w:r>
              <w:rPr>
                <w:rFonts w:ascii="宋体" w:cs="宋体"/>
                <w:sz w:val="18"/>
                <w:szCs w:val="18"/>
              </w:rPr>
              <w:t>外观</w:t>
            </w:r>
          </w:p>
        </w:tc>
        <w:tc>
          <w:tcPr>
            <w:tcW w:w="1630" w:type="pct"/>
            <w:tcBorders>
              <w:bottom w:val="single" w:color="auto" w:sz="4" w:space="0"/>
            </w:tcBorders>
            <w:vAlign w:val="center"/>
          </w:tcPr>
          <w:p>
            <w:pPr>
              <w:spacing w:line="360" w:lineRule="auto"/>
              <w:jc w:val="center"/>
              <w:rPr>
                <w:rFonts w:ascii="宋体" w:cs="宋体"/>
                <w:sz w:val="18"/>
                <w:szCs w:val="18"/>
              </w:rPr>
            </w:pPr>
            <w:r>
              <w:rPr>
                <w:rFonts w:hint="eastAsia" w:ascii="宋体" w:cs="宋体"/>
                <w:sz w:val="18"/>
                <w:szCs w:val="18"/>
              </w:rPr>
              <w:t>5.</w:t>
            </w:r>
            <w:r>
              <w:rPr>
                <w:rFonts w:ascii="宋体" w:cs="宋体"/>
                <w:sz w:val="18"/>
                <w:szCs w:val="18"/>
              </w:rPr>
              <w:t>7</w:t>
            </w:r>
          </w:p>
        </w:tc>
        <w:tc>
          <w:tcPr>
            <w:tcW w:w="1018" w:type="pct"/>
            <w:tcBorders>
              <w:bottom w:val="single" w:color="auto" w:sz="4" w:space="0"/>
              <w:right w:val="single" w:color="auto" w:sz="8" w:space="0"/>
            </w:tcBorders>
            <w:vAlign w:val="center"/>
          </w:tcPr>
          <w:p>
            <w:pPr>
              <w:adjustRightInd/>
              <w:spacing w:line="240" w:lineRule="auto"/>
              <w:jc w:val="center"/>
              <w:rPr>
                <w:rFonts w:ascii="宋体" w:hAnsi="宋体"/>
                <w:sz w:val="18"/>
                <w:szCs w:val="18"/>
              </w:rPr>
            </w:pPr>
            <w:r>
              <w:rPr>
                <w:rFonts w:ascii="宋体" w:hAnsi="宋体"/>
                <w:sz w:val="18"/>
                <w:szCs w:val="18"/>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54" w:type="pct"/>
            <w:tcBorders>
              <w:left w:val="single" w:color="auto" w:sz="8" w:space="0"/>
              <w:bottom w:val="single" w:color="auto" w:sz="4" w:space="0"/>
            </w:tcBorders>
          </w:tcPr>
          <w:p>
            <w:pPr>
              <w:spacing w:line="360" w:lineRule="auto"/>
              <w:jc w:val="center"/>
              <w:rPr>
                <w:rFonts w:ascii="宋体" w:cs="宋体"/>
                <w:sz w:val="18"/>
                <w:szCs w:val="18"/>
              </w:rPr>
            </w:pPr>
            <w:r>
              <w:rPr>
                <w:rFonts w:ascii="宋体" w:cs="宋体"/>
                <w:sz w:val="18"/>
                <w:szCs w:val="18"/>
              </w:rPr>
              <w:t>5</w:t>
            </w:r>
          </w:p>
        </w:tc>
        <w:tc>
          <w:tcPr>
            <w:tcW w:w="1998" w:type="pct"/>
            <w:tcBorders>
              <w:bottom w:val="single" w:color="auto" w:sz="4" w:space="0"/>
            </w:tcBorders>
            <w:vAlign w:val="center"/>
          </w:tcPr>
          <w:p>
            <w:pPr>
              <w:spacing w:line="360" w:lineRule="auto"/>
              <w:jc w:val="center"/>
              <w:rPr>
                <w:rFonts w:ascii="宋体" w:hAnsi="宋体" w:cs="宋体"/>
                <w:sz w:val="18"/>
                <w:szCs w:val="18"/>
              </w:rPr>
            </w:pPr>
            <w:r>
              <w:rPr>
                <w:rFonts w:hint="eastAsia" w:ascii="宋体" w:hAnsi="宋体" w:cs="宋体"/>
                <w:sz w:val="18"/>
                <w:szCs w:val="18"/>
              </w:rPr>
              <w:t>标志</w:t>
            </w:r>
          </w:p>
        </w:tc>
        <w:tc>
          <w:tcPr>
            <w:tcW w:w="1630" w:type="pct"/>
            <w:tcBorders>
              <w:bottom w:val="single" w:color="auto" w:sz="4" w:space="0"/>
            </w:tcBorders>
            <w:vAlign w:val="center"/>
          </w:tcPr>
          <w:p>
            <w:pPr>
              <w:adjustRightInd/>
              <w:spacing w:line="240" w:lineRule="auto"/>
              <w:jc w:val="center"/>
              <w:rPr>
                <w:rFonts w:ascii="宋体" w:cs="宋体"/>
                <w:sz w:val="18"/>
                <w:szCs w:val="18"/>
              </w:rPr>
            </w:pPr>
            <w:r>
              <w:rPr>
                <w:rFonts w:ascii="宋体" w:hAnsi="宋体"/>
                <w:sz w:val="18"/>
                <w:szCs w:val="18"/>
              </w:rPr>
              <w:t>8.</w:t>
            </w:r>
            <w:r>
              <w:rPr>
                <w:rFonts w:hint="eastAsia" w:ascii="宋体" w:hAnsi="宋体"/>
                <w:sz w:val="18"/>
                <w:szCs w:val="18"/>
              </w:rPr>
              <w:t>1</w:t>
            </w:r>
            <w:r>
              <w:rPr>
                <w:rFonts w:ascii="宋体" w:hAnsi="宋体"/>
                <w:sz w:val="18"/>
                <w:szCs w:val="18"/>
              </w:rPr>
              <w:t>.</w:t>
            </w:r>
            <w:r>
              <w:rPr>
                <w:rFonts w:hint="eastAsia" w:ascii="宋体" w:hAnsi="宋体"/>
                <w:sz w:val="18"/>
                <w:szCs w:val="18"/>
              </w:rPr>
              <w:t>2，</w:t>
            </w:r>
            <w:r>
              <w:rPr>
                <w:rFonts w:ascii="宋体" w:hAnsi="宋体"/>
                <w:sz w:val="18"/>
                <w:szCs w:val="18"/>
              </w:rPr>
              <w:t>8.</w:t>
            </w:r>
            <w:r>
              <w:rPr>
                <w:rFonts w:hint="eastAsia" w:ascii="宋体" w:hAnsi="宋体"/>
                <w:sz w:val="18"/>
                <w:szCs w:val="18"/>
              </w:rPr>
              <w:t>1</w:t>
            </w:r>
            <w:r>
              <w:rPr>
                <w:rFonts w:ascii="宋体" w:hAnsi="宋体"/>
                <w:sz w:val="18"/>
                <w:szCs w:val="18"/>
              </w:rPr>
              <w:t>.</w:t>
            </w:r>
            <w:r>
              <w:rPr>
                <w:rFonts w:hint="eastAsia" w:ascii="宋体" w:hAnsi="宋体"/>
                <w:sz w:val="18"/>
                <w:szCs w:val="18"/>
              </w:rPr>
              <w:t>3，</w:t>
            </w:r>
            <w:r>
              <w:rPr>
                <w:rFonts w:ascii="宋体" w:hAnsi="宋体"/>
                <w:sz w:val="18"/>
                <w:szCs w:val="18"/>
              </w:rPr>
              <w:t>8.</w:t>
            </w:r>
            <w:r>
              <w:rPr>
                <w:rFonts w:hint="eastAsia" w:ascii="宋体" w:hAnsi="宋体"/>
                <w:sz w:val="18"/>
                <w:szCs w:val="18"/>
              </w:rPr>
              <w:t>1</w:t>
            </w:r>
            <w:r>
              <w:rPr>
                <w:rFonts w:ascii="宋体" w:hAnsi="宋体"/>
                <w:sz w:val="18"/>
                <w:szCs w:val="18"/>
              </w:rPr>
              <w:t>.</w:t>
            </w:r>
            <w:r>
              <w:rPr>
                <w:rFonts w:hint="eastAsia" w:ascii="宋体" w:hAnsi="宋体"/>
                <w:sz w:val="18"/>
                <w:szCs w:val="18"/>
              </w:rPr>
              <w:t>4</w:t>
            </w:r>
          </w:p>
        </w:tc>
        <w:tc>
          <w:tcPr>
            <w:tcW w:w="1018" w:type="pct"/>
            <w:tcBorders>
              <w:bottom w:val="single" w:color="auto" w:sz="4" w:space="0"/>
              <w:right w:val="single" w:color="auto" w:sz="8" w:space="0"/>
            </w:tcBorders>
            <w:vAlign w:val="center"/>
          </w:tcPr>
          <w:p>
            <w:pPr>
              <w:adjustRightInd/>
              <w:spacing w:line="240" w:lineRule="auto"/>
              <w:jc w:val="center"/>
              <w:rPr>
                <w:rFonts w:ascii="宋体" w:hAnsi="宋体"/>
                <w:sz w:val="18"/>
                <w:szCs w:val="18"/>
              </w:rPr>
            </w:pPr>
            <w:r>
              <w:rPr>
                <w:rFonts w:ascii="宋体" w:hAnsi="宋体"/>
                <w:sz w:val="18"/>
                <w:szCs w:val="18"/>
              </w:rPr>
              <w:t>视检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54" w:type="pct"/>
            <w:tcBorders>
              <w:top w:val="single" w:color="auto" w:sz="8" w:space="0"/>
              <w:left w:val="single" w:color="auto" w:sz="8" w:space="0"/>
              <w:bottom w:val="single" w:color="auto" w:sz="8" w:space="0"/>
            </w:tcBorders>
          </w:tcPr>
          <w:p>
            <w:pPr>
              <w:spacing w:line="360" w:lineRule="auto"/>
              <w:jc w:val="center"/>
              <w:rPr>
                <w:rFonts w:ascii="宋体" w:cs="宋体"/>
                <w:sz w:val="18"/>
                <w:szCs w:val="18"/>
              </w:rPr>
            </w:pPr>
            <w:r>
              <w:rPr>
                <w:rFonts w:ascii="宋体" w:cs="宋体"/>
                <w:sz w:val="18"/>
                <w:szCs w:val="18"/>
              </w:rPr>
              <w:t>6</w:t>
            </w:r>
          </w:p>
        </w:tc>
        <w:tc>
          <w:tcPr>
            <w:tcW w:w="1998" w:type="pct"/>
            <w:tcBorders>
              <w:top w:val="single" w:color="auto" w:sz="8" w:space="0"/>
              <w:bottom w:val="single" w:color="auto" w:sz="8" w:space="0"/>
            </w:tcBorders>
            <w:vAlign w:val="center"/>
          </w:tcPr>
          <w:p>
            <w:pPr>
              <w:spacing w:line="360" w:lineRule="auto"/>
              <w:jc w:val="center"/>
              <w:rPr>
                <w:rFonts w:ascii="宋体" w:hAnsi="宋体" w:cs="宋体"/>
                <w:sz w:val="18"/>
                <w:szCs w:val="18"/>
              </w:rPr>
            </w:pPr>
            <w:r>
              <w:rPr>
                <w:rFonts w:hint="eastAsia" w:ascii="宋体" w:hAnsi="宋体" w:cs="宋体"/>
                <w:sz w:val="18"/>
                <w:szCs w:val="18"/>
              </w:rPr>
              <w:t>包装</w:t>
            </w:r>
          </w:p>
        </w:tc>
        <w:tc>
          <w:tcPr>
            <w:tcW w:w="1630" w:type="pct"/>
            <w:tcBorders>
              <w:top w:val="single" w:color="auto" w:sz="8" w:space="0"/>
              <w:bottom w:val="single" w:color="auto" w:sz="8" w:space="0"/>
            </w:tcBorders>
            <w:vAlign w:val="center"/>
          </w:tcPr>
          <w:p>
            <w:pPr>
              <w:spacing w:line="360" w:lineRule="auto"/>
              <w:jc w:val="center"/>
              <w:rPr>
                <w:rFonts w:ascii="宋体" w:cs="宋体"/>
                <w:sz w:val="18"/>
                <w:szCs w:val="18"/>
              </w:rPr>
            </w:pPr>
            <w:r>
              <w:rPr>
                <w:rFonts w:hint="eastAsia" w:ascii="宋体" w:cs="宋体"/>
                <w:sz w:val="18"/>
                <w:szCs w:val="18"/>
              </w:rPr>
              <w:t>8.2</w:t>
            </w:r>
          </w:p>
        </w:tc>
        <w:tc>
          <w:tcPr>
            <w:tcW w:w="1018" w:type="pct"/>
            <w:tcBorders>
              <w:top w:val="single" w:color="auto" w:sz="8" w:space="0"/>
              <w:bottom w:val="single" w:color="auto" w:sz="8" w:space="0"/>
              <w:right w:val="single" w:color="auto" w:sz="8" w:space="0"/>
            </w:tcBorders>
            <w:vAlign w:val="center"/>
          </w:tcPr>
          <w:p>
            <w:pPr>
              <w:adjustRightInd/>
              <w:spacing w:line="240" w:lineRule="auto"/>
              <w:jc w:val="center"/>
              <w:rPr>
                <w:rFonts w:ascii="宋体" w:hAnsi="宋体"/>
                <w:sz w:val="18"/>
                <w:szCs w:val="18"/>
              </w:rPr>
            </w:pPr>
            <w:r>
              <w:rPr>
                <w:rFonts w:ascii="宋体" w:hAnsi="宋体"/>
                <w:sz w:val="18"/>
                <w:szCs w:val="18"/>
              </w:rPr>
              <w:t>视检</w:t>
            </w:r>
          </w:p>
        </w:tc>
      </w:tr>
    </w:tbl>
    <w:p>
      <w:pPr>
        <w:pStyle w:val="116"/>
        <w:spacing w:before="156" w:after="156"/>
        <w:ind w:left="0"/>
      </w:pPr>
      <w:bookmarkStart w:id="146" w:name="_Toc65063234"/>
      <w:r>
        <w:rPr>
          <w:rFonts w:hint="eastAsia"/>
        </w:rPr>
        <w:t>抽查检验</w:t>
      </w:r>
      <w:bookmarkEnd w:id="146"/>
    </w:p>
    <w:p>
      <w:pPr>
        <w:pStyle w:val="67"/>
        <w:autoSpaceDE/>
        <w:autoSpaceDN/>
        <w:ind w:firstLine="420"/>
      </w:pPr>
      <w:r>
        <w:rPr>
          <w:rFonts w:hint="eastAsia"/>
        </w:rPr>
        <w:t>抽查检验根据GB/T 2828.1进行，逐批检验的抽检项目、批量、抽样方案、检查水平及合格质量水平等可参考表5的规定，或由制造商质量检验部门自行决定。</w:t>
      </w:r>
    </w:p>
    <w:p>
      <w:pPr>
        <w:pStyle w:val="123"/>
        <w:spacing w:before="156" w:after="156"/>
        <w:ind w:left="0"/>
      </w:pPr>
      <w:r>
        <w:rPr>
          <w:rFonts w:hint="eastAsia"/>
        </w:rPr>
        <w:t>抽查检验项目、不合格类别、技术要求及抽样计划</w:t>
      </w:r>
    </w:p>
    <w:tbl>
      <w:tblPr>
        <w:tblStyle w:val="3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0"/>
        <w:gridCol w:w="2225"/>
        <w:gridCol w:w="1369"/>
        <w:gridCol w:w="1369"/>
        <w:gridCol w:w="1541"/>
        <w:gridCol w:w="20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533" w:type="pct"/>
            <w:tcBorders>
              <w:top w:val="single" w:color="auto" w:sz="8" w:space="0"/>
              <w:left w:val="single" w:color="auto" w:sz="8" w:space="0"/>
              <w:bottom w:val="single" w:color="auto" w:sz="8" w:space="0"/>
            </w:tcBorders>
          </w:tcPr>
          <w:p>
            <w:pPr>
              <w:spacing w:line="360" w:lineRule="auto"/>
              <w:jc w:val="center"/>
              <w:rPr>
                <w:rFonts w:ascii="宋体" w:cs="宋体"/>
                <w:sz w:val="18"/>
                <w:szCs w:val="18"/>
              </w:rPr>
            </w:pPr>
            <w:r>
              <w:rPr>
                <w:rFonts w:hint="eastAsia" w:ascii="宋体" w:hAnsi="宋体" w:cs="宋体"/>
                <w:sz w:val="18"/>
                <w:szCs w:val="18"/>
              </w:rPr>
              <w:t>序号</w:t>
            </w:r>
          </w:p>
        </w:tc>
        <w:tc>
          <w:tcPr>
            <w:tcW w:w="1162" w:type="pct"/>
            <w:tcBorders>
              <w:top w:val="single" w:color="auto" w:sz="8" w:space="0"/>
              <w:bottom w:val="single" w:color="auto" w:sz="8" w:space="0"/>
            </w:tcBorders>
            <w:vAlign w:val="center"/>
          </w:tcPr>
          <w:p>
            <w:pPr>
              <w:spacing w:line="360" w:lineRule="auto"/>
              <w:jc w:val="center"/>
              <w:rPr>
                <w:rFonts w:ascii="宋体" w:cs="宋体"/>
                <w:sz w:val="18"/>
                <w:szCs w:val="18"/>
              </w:rPr>
            </w:pPr>
            <w:r>
              <w:rPr>
                <w:rFonts w:hint="eastAsia" w:ascii="宋体" w:hAnsi="宋体" w:cs="宋体"/>
                <w:sz w:val="18"/>
                <w:szCs w:val="18"/>
              </w:rPr>
              <w:t>检验项目</w:t>
            </w:r>
          </w:p>
        </w:tc>
        <w:tc>
          <w:tcPr>
            <w:tcW w:w="715" w:type="pct"/>
            <w:tcBorders>
              <w:top w:val="single" w:color="auto" w:sz="8" w:space="0"/>
              <w:bottom w:val="single" w:color="auto" w:sz="8" w:space="0"/>
            </w:tcBorders>
            <w:vAlign w:val="center"/>
          </w:tcPr>
          <w:p>
            <w:pPr>
              <w:spacing w:line="360" w:lineRule="auto"/>
              <w:jc w:val="center"/>
              <w:rPr>
                <w:rFonts w:ascii="宋体" w:cs="宋体"/>
                <w:sz w:val="18"/>
                <w:szCs w:val="18"/>
              </w:rPr>
            </w:pPr>
            <w:r>
              <w:rPr>
                <w:rFonts w:hint="eastAsia" w:ascii="宋体" w:hAnsi="宋体" w:cs="宋体"/>
                <w:sz w:val="18"/>
                <w:szCs w:val="18"/>
              </w:rPr>
              <w:t>不合格分类</w:t>
            </w:r>
          </w:p>
        </w:tc>
        <w:tc>
          <w:tcPr>
            <w:tcW w:w="715" w:type="pct"/>
            <w:tcBorders>
              <w:top w:val="single" w:color="auto" w:sz="8" w:space="0"/>
              <w:bottom w:val="single" w:color="auto" w:sz="8" w:space="0"/>
            </w:tcBorders>
            <w:vAlign w:val="center"/>
          </w:tcPr>
          <w:p>
            <w:pPr>
              <w:spacing w:line="360" w:lineRule="auto"/>
              <w:jc w:val="center"/>
              <w:rPr>
                <w:rFonts w:ascii="宋体" w:cs="宋体"/>
                <w:sz w:val="18"/>
                <w:szCs w:val="18"/>
              </w:rPr>
            </w:pPr>
            <w:r>
              <w:rPr>
                <w:rFonts w:hint="eastAsia" w:ascii="宋体" w:hAnsi="宋体" w:cs="宋体"/>
                <w:sz w:val="18"/>
                <w:szCs w:val="18"/>
              </w:rPr>
              <w:t>对应章条</w:t>
            </w:r>
          </w:p>
        </w:tc>
        <w:tc>
          <w:tcPr>
            <w:tcW w:w="805" w:type="pct"/>
            <w:tcBorders>
              <w:top w:val="single" w:color="auto" w:sz="8" w:space="0"/>
              <w:bottom w:val="single" w:color="auto" w:sz="8" w:space="0"/>
            </w:tcBorders>
            <w:vAlign w:val="center"/>
          </w:tcPr>
          <w:p>
            <w:pPr>
              <w:jc w:val="center"/>
              <w:rPr>
                <w:rFonts w:ascii="宋体" w:cs="宋体"/>
                <w:sz w:val="18"/>
                <w:szCs w:val="18"/>
              </w:rPr>
            </w:pPr>
            <w:r>
              <w:rPr>
                <w:rFonts w:hint="eastAsia" w:ascii="宋体" w:hAnsi="宋体" w:cs="宋体"/>
                <w:sz w:val="18"/>
                <w:szCs w:val="18"/>
              </w:rPr>
              <w:t>检验水平</w:t>
            </w:r>
            <w:r>
              <w:rPr>
                <w:rFonts w:ascii="宋体" w:hAnsi="宋体" w:cs="宋体"/>
                <w:sz w:val="18"/>
                <w:szCs w:val="18"/>
              </w:rPr>
              <w:t>(IL)</w:t>
            </w:r>
          </w:p>
        </w:tc>
        <w:tc>
          <w:tcPr>
            <w:tcW w:w="1069" w:type="pct"/>
            <w:tcBorders>
              <w:top w:val="single" w:color="auto" w:sz="8" w:space="0"/>
              <w:bottom w:val="single" w:color="auto" w:sz="8" w:space="0"/>
              <w:right w:val="single" w:color="auto" w:sz="8" w:space="0"/>
            </w:tcBorders>
            <w:vAlign w:val="center"/>
          </w:tcPr>
          <w:p>
            <w:pPr>
              <w:spacing w:line="360" w:lineRule="auto"/>
              <w:jc w:val="center"/>
              <w:rPr>
                <w:rFonts w:ascii="宋体" w:cs="宋体"/>
                <w:sz w:val="18"/>
                <w:szCs w:val="18"/>
              </w:rPr>
            </w:pPr>
            <w:r>
              <w:rPr>
                <w:rFonts w:hint="eastAsia" w:ascii="宋体" w:hAnsi="宋体" w:cs="宋体"/>
                <w:sz w:val="18"/>
                <w:szCs w:val="18"/>
              </w:rPr>
              <w:t>接收质量限</w:t>
            </w:r>
            <w:r>
              <w:rPr>
                <w:rFonts w:ascii="宋体" w:hAnsi="宋体" w:cs="宋体"/>
                <w:sz w:val="18"/>
                <w:szCs w:val="18"/>
              </w:rPr>
              <w:t>(AQL)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533" w:type="pct"/>
            <w:tcBorders>
              <w:top w:val="single" w:color="auto" w:sz="8" w:space="0"/>
              <w:left w:val="single" w:color="auto" w:sz="8" w:space="0"/>
            </w:tcBorders>
            <w:vAlign w:val="center"/>
          </w:tcPr>
          <w:p>
            <w:pPr>
              <w:spacing w:line="360" w:lineRule="auto"/>
              <w:jc w:val="center"/>
              <w:rPr>
                <w:rFonts w:ascii="宋体" w:cs="宋体"/>
                <w:sz w:val="18"/>
                <w:szCs w:val="18"/>
              </w:rPr>
            </w:pPr>
            <w:r>
              <w:rPr>
                <w:rFonts w:ascii="宋体" w:cs="宋体"/>
                <w:sz w:val="18"/>
                <w:szCs w:val="18"/>
              </w:rPr>
              <w:t>1</w:t>
            </w:r>
          </w:p>
        </w:tc>
        <w:tc>
          <w:tcPr>
            <w:tcW w:w="1162" w:type="pct"/>
            <w:tcBorders>
              <w:top w:val="single" w:color="auto" w:sz="8" w:space="0"/>
              <w:bottom w:val="single" w:color="auto" w:sz="4" w:space="0"/>
            </w:tcBorders>
            <w:vAlign w:val="center"/>
          </w:tcPr>
          <w:p>
            <w:pPr>
              <w:spacing w:line="360" w:lineRule="auto"/>
              <w:jc w:val="center"/>
              <w:rPr>
                <w:rFonts w:ascii="宋体" w:hAnsi="宋体" w:cs="宋体"/>
                <w:sz w:val="18"/>
                <w:szCs w:val="18"/>
              </w:rPr>
            </w:pPr>
            <w:r>
              <w:rPr>
                <w:rFonts w:hint="eastAsia" w:ascii="宋体" w:hAnsi="宋体"/>
                <w:sz w:val="18"/>
                <w:szCs w:val="18"/>
              </w:rPr>
              <w:t>泄漏电流、电气强度、接地、输入功率和电流</w:t>
            </w:r>
          </w:p>
        </w:tc>
        <w:tc>
          <w:tcPr>
            <w:tcW w:w="715" w:type="pct"/>
            <w:tcBorders>
              <w:top w:val="single" w:color="auto" w:sz="8" w:space="0"/>
              <w:bottom w:val="single" w:color="auto" w:sz="4" w:space="0"/>
            </w:tcBorders>
            <w:vAlign w:val="center"/>
          </w:tcPr>
          <w:p>
            <w:pPr>
              <w:spacing w:line="360" w:lineRule="auto"/>
              <w:jc w:val="center"/>
              <w:rPr>
                <w:rFonts w:ascii="宋体" w:hAnsi="宋体" w:cs="宋体"/>
                <w:sz w:val="18"/>
                <w:szCs w:val="18"/>
              </w:rPr>
            </w:pPr>
            <w:r>
              <w:rPr>
                <w:rFonts w:hint="eastAsia" w:ascii="宋体" w:hAnsi="宋体" w:cs="宋体"/>
                <w:sz w:val="18"/>
                <w:szCs w:val="18"/>
              </w:rPr>
              <w:t>A</w:t>
            </w:r>
          </w:p>
        </w:tc>
        <w:tc>
          <w:tcPr>
            <w:tcW w:w="715" w:type="pct"/>
            <w:tcBorders>
              <w:top w:val="single" w:color="auto" w:sz="8" w:space="0"/>
              <w:bottom w:val="single" w:color="auto" w:sz="4" w:space="0"/>
            </w:tcBorders>
            <w:vAlign w:val="center"/>
          </w:tcPr>
          <w:p>
            <w:pPr>
              <w:spacing w:line="360" w:lineRule="auto"/>
              <w:jc w:val="center"/>
              <w:rPr>
                <w:rFonts w:ascii="宋体" w:cs="宋体"/>
                <w:sz w:val="18"/>
                <w:szCs w:val="18"/>
              </w:rPr>
            </w:pPr>
            <w:r>
              <w:rPr>
                <w:rFonts w:hint="eastAsia" w:ascii="宋体" w:cs="宋体"/>
                <w:sz w:val="18"/>
                <w:szCs w:val="18"/>
              </w:rPr>
              <w:t>5.2</w:t>
            </w:r>
          </w:p>
        </w:tc>
        <w:tc>
          <w:tcPr>
            <w:tcW w:w="805" w:type="pct"/>
            <w:tcBorders>
              <w:top w:val="single" w:color="auto" w:sz="8" w:space="0"/>
              <w:bottom w:val="single" w:color="auto" w:sz="4" w:space="0"/>
            </w:tcBorders>
            <w:vAlign w:val="center"/>
          </w:tcPr>
          <w:p>
            <w:pPr>
              <w:spacing w:line="360" w:lineRule="auto"/>
              <w:jc w:val="center"/>
              <w:rPr>
                <w:rFonts w:ascii="宋体" w:cs="宋体"/>
                <w:sz w:val="18"/>
                <w:szCs w:val="18"/>
              </w:rPr>
            </w:pPr>
            <w:r>
              <w:rPr>
                <w:rFonts w:ascii="宋体" w:cs="宋体"/>
                <w:sz w:val="18"/>
                <w:szCs w:val="18"/>
              </w:rPr>
              <w:t>—</w:t>
            </w:r>
          </w:p>
        </w:tc>
        <w:tc>
          <w:tcPr>
            <w:tcW w:w="1069" w:type="pct"/>
            <w:tcBorders>
              <w:top w:val="single" w:color="auto" w:sz="8" w:space="0"/>
              <w:right w:val="single" w:color="auto" w:sz="8" w:space="0"/>
            </w:tcBorders>
            <w:vAlign w:val="center"/>
          </w:tcPr>
          <w:p>
            <w:pPr>
              <w:spacing w:line="360" w:lineRule="auto"/>
              <w:jc w:val="center"/>
              <w:rPr>
                <w:rFonts w:ascii="宋体" w:hAnsi="宋体" w:cs="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33" w:type="pct"/>
            <w:tcBorders>
              <w:left w:val="single" w:color="auto" w:sz="8" w:space="0"/>
            </w:tcBorders>
          </w:tcPr>
          <w:p>
            <w:pPr>
              <w:spacing w:line="360" w:lineRule="auto"/>
              <w:jc w:val="center"/>
              <w:rPr>
                <w:rFonts w:ascii="宋体" w:hAnsi="宋体" w:cs="宋体"/>
                <w:sz w:val="18"/>
                <w:szCs w:val="18"/>
              </w:rPr>
            </w:pPr>
            <w:r>
              <w:rPr>
                <w:rFonts w:hint="eastAsia" w:ascii="宋体" w:hAnsi="宋体" w:cs="宋体"/>
                <w:sz w:val="18"/>
                <w:szCs w:val="18"/>
              </w:rPr>
              <w:t>2</w:t>
            </w:r>
          </w:p>
        </w:tc>
        <w:tc>
          <w:tcPr>
            <w:tcW w:w="1162" w:type="pct"/>
            <w:vAlign w:val="center"/>
          </w:tcPr>
          <w:p>
            <w:pPr>
              <w:spacing w:line="360" w:lineRule="auto"/>
              <w:jc w:val="center"/>
              <w:rPr>
                <w:rFonts w:ascii="宋体" w:cs="宋体"/>
                <w:sz w:val="18"/>
                <w:szCs w:val="18"/>
              </w:rPr>
            </w:pPr>
            <w:r>
              <w:rPr>
                <w:rFonts w:hint="eastAsia" w:ascii="宋体" w:hAnsi="宋体" w:cs="宋体"/>
                <w:sz w:val="18"/>
                <w:szCs w:val="18"/>
              </w:rPr>
              <w:t>照明</w:t>
            </w:r>
          </w:p>
        </w:tc>
        <w:tc>
          <w:tcPr>
            <w:tcW w:w="715" w:type="pct"/>
            <w:vAlign w:val="center"/>
          </w:tcPr>
          <w:p>
            <w:pPr>
              <w:spacing w:line="360" w:lineRule="auto"/>
              <w:jc w:val="center"/>
              <w:rPr>
                <w:rFonts w:ascii="宋体" w:cs="宋体"/>
                <w:sz w:val="18"/>
                <w:szCs w:val="18"/>
              </w:rPr>
            </w:pPr>
            <w:r>
              <w:rPr>
                <w:rFonts w:hint="eastAsia" w:ascii="宋体" w:cs="宋体"/>
                <w:sz w:val="18"/>
                <w:szCs w:val="18"/>
              </w:rPr>
              <w:t>C</w:t>
            </w:r>
          </w:p>
        </w:tc>
        <w:tc>
          <w:tcPr>
            <w:tcW w:w="715" w:type="pct"/>
            <w:vAlign w:val="center"/>
          </w:tcPr>
          <w:p>
            <w:pPr>
              <w:spacing w:line="360" w:lineRule="auto"/>
              <w:jc w:val="center"/>
              <w:rPr>
                <w:rFonts w:ascii="宋体" w:cs="宋体"/>
                <w:sz w:val="18"/>
                <w:szCs w:val="18"/>
              </w:rPr>
            </w:pPr>
            <w:r>
              <w:rPr>
                <w:rFonts w:hint="eastAsia" w:ascii="宋体" w:cs="宋体"/>
                <w:sz w:val="18"/>
                <w:szCs w:val="18"/>
              </w:rPr>
              <w:t>5.</w:t>
            </w:r>
            <w:r>
              <w:rPr>
                <w:rFonts w:ascii="宋体" w:cs="宋体"/>
                <w:sz w:val="18"/>
                <w:szCs w:val="18"/>
              </w:rPr>
              <w:t>5</w:t>
            </w:r>
          </w:p>
        </w:tc>
        <w:tc>
          <w:tcPr>
            <w:tcW w:w="805" w:type="pct"/>
            <w:vAlign w:val="center"/>
          </w:tcPr>
          <w:p>
            <w:pPr>
              <w:spacing w:line="360" w:lineRule="auto"/>
              <w:jc w:val="center"/>
              <w:rPr>
                <w:rFonts w:ascii="宋体" w:cs="宋体"/>
                <w:sz w:val="18"/>
                <w:szCs w:val="18"/>
              </w:rPr>
            </w:pPr>
            <w:r>
              <w:rPr>
                <w:rFonts w:ascii="宋体" w:hAnsi="宋体" w:cs="宋体"/>
                <w:sz w:val="18"/>
                <w:szCs w:val="18"/>
              </w:rPr>
              <w:t>S-2</w:t>
            </w:r>
          </w:p>
        </w:tc>
        <w:tc>
          <w:tcPr>
            <w:tcW w:w="1069" w:type="pct"/>
            <w:tcBorders>
              <w:right w:val="single" w:color="auto" w:sz="8" w:space="0"/>
            </w:tcBorders>
            <w:vAlign w:val="center"/>
          </w:tcPr>
          <w:p>
            <w:pPr>
              <w:spacing w:line="360" w:lineRule="auto"/>
              <w:jc w:val="center"/>
              <w:rPr>
                <w:rFonts w:ascii="宋体" w:cs="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33" w:type="pct"/>
            <w:tcBorders>
              <w:left w:val="single" w:color="auto" w:sz="8" w:space="0"/>
            </w:tcBorders>
          </w:tcPr>
          <w:p>
            <w:pPr>
              <w:spacing w:line="360" w:lineRule="auto"/>
              <w:jc w:val="center"/>
              <w:rPr>
                <w:rFonts w:ascii="宋体" w:cs="宋体"/>
                <w:sz w:val="18"/>
                <w:szCs w:val="18"/>
              </w:rPr>
            </w:pPr>
            <w:r>
              <w:rPr>
                <w:rFonts w:hint="eastAsia" w:ascii="宋体" w:cs="宋体"/>
                <w:sz w:val="18"/>
                <w:szCs w:val="18"/>
              </w:rPr>
              <w:t>3</w:t>
            </w:r>
          </w:p>
        </w:tc>
        <w:tc>
          <w:tcPr>
            <w:tcW w:w="1162" w:type="pct"/>
            <w:vAlign w:val="center"/>
          </w:tcPr>
          <w:p>
            <w:pPr>
              <w:spacing w:line="360" w:lineRule="auto"/>
              <w:jc w:val="center"/>
              <w:rPr>
                <w:rFonts w:ascii="宋体" w:cs="宋体"/>
                <w:sz w:val="18"/>
                <w:szCs w:val="18"/>
              </w:rPr>
            </w:pPr>
            <w:r>
              <w:rPr>
                <w:rFonts w:ascii="宋体" w:cs="宋体"/>
                <w:sz w:val="18"/>
                <w:szCs w:val="18"/>
              </w:rPr>
              <w:t>叶轮</w:t>
            </w:r>
            <w:r>
              <w:rPr>
                <w:rFonts w:hint="eastAsia" w:ascii="宋体" w:cs="宋体"/>
                <w:sz w:val="18"/>
                <w:szCs w:val="18"/>
              </w:rPr>
              <w:t>平稳性</w:t>
            </w:r>
          </w:p>
        </w:tc>
        <w:tc>
          <w:tcPr>
            <w:tcW w:w="715" w:type="pct"/>
            <w:tcBorders>
              <w:top w:val="single" w:color="auto" w:sz="4" w:space="0"/>
            </w:tcBorders>
            <w:vAlign w:val="center"/>
          </w:tcPr>
          <w:p>
            <w:pPr>
              <w:spacing w:line="360" w:lineRule="auto"/>
              <w:jc w:val="center"/>
              <w:rPr>
                <w:rFonts w:ascii="宋体" w:cs="宋体"/>
                <w:sz w:val="18"/>
                <w:szCs w:val="18"/>
              </w:rPr>
            </w:pPr>
            <w:r>
              <w:rPr>
                <w:rFonts w:ascii="宋体" w:hAnsi="宋体" w:cs="宋体"/>
                <w:sz w:val="18"/>
                <w:szCs w:val="18"/>
              </w:rPr>
              <w:t>C</w:t>
            </w:r>
          </w:p>
        </w:tc>
        <w:tc>
          <w:tcPr>
            <w:tcW w:w="715" w:type="pct"/>
            <w:vAlign w:val="center"/>
          </w:tcPr>
          <w:p>
            <w:pPr>
              <w:spacing w:line="360" w:lineRule="auto"/>
              <w:jc w:val="center"/>
              <w:rPr>
                <w:rFonts w:ascii="宋体" w:cs="宋体"/>
                <w:sz w:val="18"/>
                <w:szCs w:val="18"/>
              </w:rPr>
            </w:pPr>
            <w:r>
              <w:rPr>
                <w:rFonts w:hint="eastAsia" w:ascii="宋体" w:cs="宋体"/>
                <w:sz w:val="18"/>
                <w:szCs w:val="18"/>
              </w:rPr>
              <w:t>5.</w:t>
            </w:r>
            <w:r>
              <w:rPr>
                <w:rFonts w:ascii="宋体" w:cs="宋体"/>
                <w:sz w:val="18"/>
                <w:szCs w:val="18"/>
              </w:rPr>
              <w:t>6</w:t>
            </w:r>
          </w:p>
        </w:tc>
        <w:tc>
          <w:tcPr>
            <w:tcW w:w="805" w:type="pct"/>
            <w:tcBorders>
              <w:top w:val="single" w:color="auto" w:sz="4" w:space="0"/>
            </w:tcBorders>
            <w:vAlign w:val="center"/>
          </w:tcPr>
          <w:p>
            <w:pPr>
              <w:spacing w:line="360" w:lineRule="auto"/>
              <w:jc w:val="center"/>
              <w:rPr>
                <w:rFonts w:ascii="宋体" w:cs="宋体"/>
                <w:sz w:val="18"/>
                <w:szCs w:val="18"/>
              </w:rPr>
            </w:pPr>
            <w:r>
              <w:rPr>
                <w:rFonts w:ascii="宋体" w:hAnsi="宋体" w:cs="宋体"/>
                <w:sz w:val="18"/>
                <w:szCs w:val="18"/>
              </w:rPr>
              <w:t>S-2</w:t>
            </w:r>
          </w:p>
        </w:tc>
        <w:tc>
          <w:tcPr>
            <w:tcW w:w="1069" w:type="pct"/>
            <w:tcBorders>
              <w:top w:val="single" w:color="auto" w:sz="4" w:space="0"/>
              <w:right w:val="single" w:color="auto" w:sz="8" w:space="0"/>
            </w:tcBorders>
            <w:vAlign w:val="center"/>
          </w:tcPr>
          <w:p>
            <w:pPr>
              <w:spacing w:line="360" w:lineRule="auto"/>
              <w:jc w:val="center"/>
              <w:rPr>
                <w:rFonts w:ascii="宋体" w:cs="宋体"/>
                <w:sz w:val="18"/>
                <w:szCs w:val="18"/>
              </w:rPr>
            </w:pPr>
            <w:r>
              <w:rPr>
                <w:rFonts w:ascii="宋体" w:cs="宋体"/>
                <w:sz w:val="18"/>
                <w:szCs w:val="18"/>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33" w:type="pct"/>
            <w:tcBorders>
              <w:left w:val="single" w:color="auto" w:sz="8" w:space="0"/>
            </w:tcBorders>
          </w:tcPr>
          <w:p>
            <w:pPr>
              <w:spacing w:line="360" w:lineRule="auto"/>
              <w:jc w:val="center"/>
              <w:rPr>
                <w:rFonts w:ascii="宋体" w:cs="宋体"/>
                <w:sz w:val="18"/>
                <w:szCs w:val="18"/>
              </w:rPr>
            </w:pPr>
            <w:r>
              <w:rPr>
                <w:rFonts w:ascii="宋体" w:hAnsi="宋体" w:cs="宋体"/>
                <w:sz w:val="18"/>
                <w:szCs w:val="18"/>
              </w:rPr>
              <w:t>4</w:t>
            </w:r>
          </w:p>
        </w:tc>
        <w:tc>
          <w:tcPr>
            <w:tcW w:w="1162" w:type="pct"/>
            <w:vAlign w:val="center"/>
          </w:tcPr>
          <w:p>
            <w:pPr>
              <w:spacing w:line="360" w:lineRule="auto"/>
              <w:jc w:val="center"/>
              <w:rPr>
                <w:rFonts w:ascii="宋体" w:cs="宋体"/>
                <w:sz w:val="18"/>
                <w:szCs w:val="18"/>
              </w:rPr>
            </w:pPr>
            <w:r>
              <w:rPr>
                <w:rFonts w:ascii="宋体" w:cs="宋体"/>
                <w:sz w:val="18"/>
                <w:szCs w:val="18"/>
              </w:rPr>
              <w:t>外观</w:t>
            </w:r>
          </w:p>
        </w:tc>
        <w:tc>
          <w:tcPr>
            <w:tcW w:w="715" w:type="pct"/>
            <w:tcBorders>
              <w:top w:val="single" w:color="auto" w:sz="4" w:space="0"/>
            </w:tcBorders>
            <w:vAlign w:val="center"/>
          </w:tcPr>
          <w:p>
            <w:pPr>
              <w:spacing w:line="360" w:lineRule="auto"/>
              <w:jc w:val="center"/>
              <w:rPr>
                <w:rFonts w:ascii="宋体" w:cs="宋体"/>
                <w:sz w:val="18"/>
                <w:szCs w:val="18"/>
              </w:rPr>
            </w:pPr>
            <w:r>
              <w:rPr>
                <w:rFonts w:hint="eastAsia" w:ascii="宋体" w:cs="宋体"/>
                <w:sz w:val="18"/>
                <w:szCs w:val="18"/>
              </w:rPr>
              <w:t>C</w:t>
            </w:r>
          </w:p>
        </w:tc>
        <w:tc>
          <w:tcPr>
            <w:tcW w:w="715" w:type="pct"/>
            <w:vAlign w:val="center"/>
          </w:tcPr>
          <w:p>
            <w:pPr>
              <w:spacing w:line="360" w:lineRule="auto"/>
              <w:jc w:val="center"/>
              <w:rPr>
                <w:rFonts w:ascii="宋体" w:cs="宋体"/>
                <w:sz w:val="18"/>
                <w:szCs w:val="18"/>
              </w:rPr>
            </w:pPr>
            <w:r>
              <w:rPr>
                <w:rFonts w:hint="eastAsia" w:ascii="宋体" w:cs="宋体"/>
                <w:sz w:val="18"/>
                <w:szCs w:val="18"/>
              </w:rPr>
              <w:t>5.</w:t>
            </w:r>
            <w:r>
              <w:rPr>
                <w:rFonts w:ascii="宋体" w:cs="宋体"/>
                <w:sz w:val="18"/>
                <w:szCs w:val="18"/>
              </w:rPr>
              <w:t>7</w:t>
            </w:r>
          </w:p>
        </w:tc>
        <w:tc>
          <w:tcPr>
            <w:tcW w:w="805" w:type="pct"/>
            <w:tcBorders>
              <w:top w:val="single" w:color="auto" w:sz="4" w:space="0"/>
            </w:tcBorders>
            <w:vAlign w:val="center"/>
          </w:tcPr>
          <w:p>
            <w:pPr>
              <w:spacing w:line="360" w:lineRule="auto"/>
              <w:jc w:val="center"/>
              <w:rPr>
                <w:rFonts w:ascii="宋体" w:cs="宋体"/>
                <w:sz w:val="18"/>
                <w:szCs w:val="18"/>
              </w:rPr>
            </w:pPr>
            <w:r>
              <w:rPr>
                <w:rFonts w:ascii="宋体" w:hAnsi="宋体" w:cs="宋体"/>
                <w:sz w:val="18"/>
                <w:szCs w:val="18"/>
              </w:rPr>
              <w:t>S-2</w:t>
            </w:r>
          </w:p>
        </w:tc>
        <w:tc>
          <w:tcPr>
            <w:tcW w:w="1069" w:type="pct"/>
            <w:tcBorders>
              <w:top w:val="single" w:color="auto" w:sz="4" w:space="0"/>
              <w:right w:val="single" w:color="auto" w:sz="8" w:space="0"/>
            </w:tcBorders>
            <w:vAlign w:val="center"/>
          </w:tcPr>
          <w:p>
            <w:pPr>
              <w:spacing w:line="360" w:lineRule="auto"/>
              <w:jc w:val="center"/>
              <w:rPr>
                <w:rFonts w:ascii="宋体" w:cs="宋体"/>
                <w:sz w:val="18"/>
                <w:szCs w:val="18"/>
              </w:rPr>
            </w:pPr>
            <w:r>
              <w:rPr>
                <w:rFonts w:ascii="宋体" w:hAnsi="宋体" w:cs="宋体"/>
                <w:sz w:val="18"/>
                <w:szCs w:val="18"/>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33" w:type="pct"/>
            <w:tcBorders>
              <w:left w:val="single" w:color="auto" w:sz="8" w:space="0"/>
            </w:tcBorders>
          </w:tcPr>
          <w:p>
            <w:pPr>
              <w:spacing w:line="360" w:lineRule="auto"/>
              <w:jc w:val="center"/>
              <w:rPr>
                <w:rFonts w:ascii="宋体" w:cs="宋体"/>
                <w:sz w:val="18"/>
                <w:szCs w:val="18"/>
              </w:rPr>
            </w:pPr>
            <w:r>
              <w:rPr>
                <w:rFonts w:ascii="宋体" w:cs="宋体"/>
                <w:sz w:val="18"/>
                <w:szCs w:val="18"/>
              </w:rPr>
              <w:t>5</w:t>
            </w:r>
          </w:p>
        </w:tc>
        <w:tc>
          <w:tcPr>
            <w:tcW w:w="1162" w:type="pct"/>
            <w:vAlign w:val="center"/>
          </w:tcPr>
          <w:p>
            <w:pPr>
              <w:spacing w:line="360" w:lineRule="auto"/>
              <w:jc w:val="center"/>
              <w:rPr>
                <w:rFonts w:ascii="宋体" w:hAnsi="宋体" w:cs="宋体"/>
                <w:sz w:val="18"/>
                <w:szCs w:val="18"/>
              </w:rPr>
            </w:pPr>
            <w:r>
              <w:rPr>
                <w:rFonts w:hint="eastAsia" w:ascii="宋体" w:hAnsi="宋体" w:cs="宋体"/>
                <w:sz w:val="18"/>
                <w:szCs w:val="18"/>
              </w:rPr>
              <w:t>标志</w:t>
            </w:r>
          </w:p>
        </w:tc>
        <w:tc>
          <w:tcPr>
            <w:tcW w:w="715" w:type="pct"/>
            <w:tcBorders>
              <w:top w:val="single" w:color="auto" w:sz="4" w:space="0"/>
              <w:bottom w:val="single" w:color="auto" w:sz="4" w:space="0"/>
            </w:tcBorders>
            <w:vAlign w:val="center"/>
          </w:tcPr>
          <w:p>
            <w:pPr>
              <w:spacing w:line="360" w:lineRule="auto"/>
              <w:jc w:val="center"/>
              <w:rPr>
                <w:rFonts w:ascii="宋体" w:cs="宋体"/>
                <w:sz w:val="18"/>
                <w:szCs w:val="18"/>
              </w:rPr>
            </w:pPr>
            <w:r>
              <w:rPr>
                <w:rFonts w:ascii="宋体" w:hAnsi="宋体" w:cs="宋体"/>
                <w:sz w:val="18"/>
                <w:szCs w:val="18"/>
              </w:rPr>
              <w:t>A</w:t>
            </w:r>
          </w:p>
        </w:tc>
        <w:tc>
          <w:tcPr>
            <w:tcW w:w="715" w:type="pct"/>
            <w:vAlign w:val="center"/>
          </w:tcPr>
          <w:p>
            <w:pPr>
              <w:adjustRightInd/>
              <w:spacing w:line="240" w:lineRule="auto"/>
              <w:jc w:val="center"/>
              <w:rPr>
                <w:rFonts w:ascii="宋体" w:hAnsi="宋体"/>
                <w:sz w:val="18"/>
                <w:szCs w:val="18"/>
              </w:rPr>
            </w:pPr>
            <w:r>
              <w:rPr>
                <w:rFonts w:ascii="宋体" w:hAnsi="宋体"/>
                <w:sz w:val="18"/>
                <w:szCs w:val="18"/>
              </w:rPr>
              <w:t>8.</w:t>
            </w:r>
            <w:r>
              <w:rPr>
                <w:rFonts w:hint="eastAsia" w:ascii="宋体" w:hAnsi="宋体"/>
                <w:sz w:val="18"/>
                <w:szCs w:val="18"/>
              </w:rPr>
              <w:t>1</w:t>
            </w:r>
            <w:r>
              <w:rPr>
                <w:rFonts w:ascii="宋体" w:hAnsi="宋体"/>
                <w:sz w:val="18"/>
                <w:szCs w:val="18"/>
              </w:rPr>
              <w:t>.</w:t>
            </w:r>
            <w:r>
              <w:rPr>
                <w:rFonts w:hint="eastAsia" w:ascii="宋体" w:hAnsi="宋体"/>
                <w:sz w:val="18"/>
                <w:szCs w:val="18"/>
              </w:rPr>
              <w:t>2，</w:t>
            </w:r>
            <w:r>
              <w:rPr>
                <w:rFonts w:ascii="宋体" w:hAnsi="宋体"/>
                <w:sz w:val="18"/>
                <w:szCs w:val="18"/>
              </w:rPr>
              <w:t>8.</w:t>
            </w:r>
            <w:r>
              <w:rPr>
                <w:rFonts w:hint="eastAsia" w:ascii="宋体" w:hAnsi="宋体"/>
                <w:sz w:val="18"/>
                <w:szCs w:val="18"/>
              </w:rPr>
              <w:t>1</w:t>
            </w:r>
            <w:r>
              <w:rPr>
                <w:rFonts w:ascii="宋体" w:hAnsi="宋体"/>
                <w:sz w:val="18"/>
                <w:szCs w:val="18"/>
              </w:rPr>
              <w:t>.</w:t>
            </w:r>
            <w:r>
              <w:rPr>
                <w:rFonts w:hint="eastAsia" w:ascii="宋体" w:hAnsi="宋体"/>
                <w:sz w:val="18"/>
                <w:szCs w:val="18"/>
              </w:rPr>
              <w:t>3</w:t>
            </w:r>
          </w:p>
          <w:p>
            <w:pPr>
              <w:spacing w:line="360" w:lineRule="auto"/>
              <w:jc w:val="center"/>
              <w:rPr>
                <w:rFonts w:ascii="宋体" w:cs="宋体"/>
                <w:sz w:val="18"/>
                <w:szCs w:val="18"/>
              </w:rPr>
            </w:pPr>
            <w:r>
              <w:rPr>
                <w:rFonts w:ascii="宋体" w:hAnsi="宋体"/>
                <w:sz w:val="18"/>
                <w:szCs w:val="18"/>
              </w:rPr>
              <w:t>8.</w:t>
            </w:r>
            <w:r>
              <w:rPr>
                <w:rFonts w:hint="eastAsia" w:ascii="宋体" w:hAnsi="宋体"/>
                <w:sz w:val="18"/>
                <w:szCs w:val="18"/>
              </w:rPr>
              <w:t>1</w:t>
            </w:r>
            <w:r>
              <w:rPr>
                <w:rFonts w:ascii="宋体" w:hAnsi="宋体"/>
                <w:sz w:val="18"/>
                <w:szCs w:val="18"/>
              </w:rPr>
              <w:t>.</w:t>
            </w:r>
            <w:r>
              <w:rPr>
                <w:rFonts w:hint="eastAsia" w:ascii="宋体" w:hAnsi="宋体"/>
                <w:sz w:val="18"/>
                <w:szCs w:val="18"/>
              </w:rPr>
              <w:t>4</w:t>
            </w:r>
          </w:p>
        </w:tc>
        <w:tc>
          <w:tcPr>
            <w:tcW w:w="805" w:type="pct"/>
            <w:vAlign w:val="center"/>
          </w:tcPr>
          <w:p>
            <w:pPr>
              <w:spacing w:line="360" w:lineRule="auto"/>
              <w:jc w:val="center"/>
              <w:rPr>
                <w:rFonts w:ascii="宋体" w:cs="宋体"/>
                <w:sz w:val="18"/>
                <w:szCs w:val="18"/>
              </w:rPr>
            </w:pPr>
            <w:r>
              <w:rPr>
                <w:rFonts w:ascii="宋体" w:hAnsi="宋体" w:cs="宋体"/>
                <w:sz w:val="18"/>
                <w:szCs w:val="18"/>
              </w:rPr>
              <w:t>S-2</w:t>
            </w:r>
          </w:p>
        </w:tc>
        <w:tc>
          <w:tcPr>
            <w:tcW w:w="1069" w:type="pct"/>
            <w:tcBorders>
              <w:top w:val="single" w:color="auto" w:sz="4" w:space="0"/>
              <w:bottom w:val="single" w:color="auto" w:sz="4" w:space="0"/>
              <w:right w:val="single" w:color="auto" w:sz="8" w:space="0"/>
            </w:tcBorders>
            <w:vAlign w:val="center"/>
          </w:tcPr>
          <w:p>
            <w:pPr>
              <w:spacing w:line="360" w:lineRule="auto"/>
              <w:jc w:val="center"/>
              <w:rPr>
                <w:rFonts w:ascii="宋体" w:cs="宋体"/>
                <w:sz w:val="18"/>
                <w:szCs w:val="18"/>
              </w:rPr>
            </w:pPr>
            <w:r>
              <w:rPr>
                <w:rFonts w:ascii="宋体" w:hAnsi="宋体" w:cs="宋体"/>
                <w:sz w:val="18"/>
                <w:szCs w:val="1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33" w:type="pct"/>
            <w:tcBorders>
              <w:left w:val="single" w:color="auto" w:sz="8" w:space="0"/>
              <w:bottom w:val="single" w:color="auto" w:sz="8" w:space="0"/>
            </w:tcBorders>
          </w:tcPr>
          <w:p>
            <w:pPr>
              <w:spacing w:line="360" w:lineRule="auto"/>
              <w:jc w:val="center"/>
              <w:rPr>
                <w:rFonts w:ascii="宋体" w:cs="宋体"/>
                <w:sz w:val="18"/>
                <w:szCs w:val="18"/>
              </w:rPr>
            </w:pPr>
            <w:r>
              <w:rPr>
                <w:rFonts w:ascii="宋体" w:cs="宋体"/>
                <w:sz w:val="18"/>
                <w:szCs w:val="18"/>
              </w:rPr>
              <w:t>6</w:t>
            </w:r>
          </w:p>
        </w:tc>
        <w:tc>
          <w:tcPr>
            <w:tcW w:w="1162" w:type="pct"/>
            <w:tcBorders>
              <w:bottom w:val="single" w:color="auto" w:sz="8" w:space="0"/>
            </w:tcBorders>
            <w:vAlign w:val="center"/>
          </w:tcPr>
          <w:p>
            <w:pPr>
              <w:spacing w:line="360" w:lineRule="auto"/>
              <w:jc w:val="center"/>
              <w:rPr>
                <w:rFonts w:ascii="宋体" w:hAnsi="宋体" w:cs="宋体"/>
                <w:sz w:val="18"/>
                <w:szCs w:val="18"/>
              </w:rPr>
            </w:pPr>
            <w:r>
              <w:rPr>
                <w:rFonts w:hint="eastAsia" w:ascii="宋体" w:hAnsi="宋体" w:cs="宋体"/>
                <w:sz w:val="18"/>
                <w:szCs w:val="18"/>
              </w:rPr>
              <w:t>包装</w:t>
            </w:r>
          </w:p>
        </w:tc>
        <w:tc>
          <w:tcPr>
            <w:tcW w:w="715" w:type="pct"/>
            <w:tcBorders>
              <w:top w:val="single" w:color="auto" w:sz="4" w:space="0"/>
              <w:bottom w:val="single" w:color="auto" w:sz="8" w:space="0"/>
            </w:tcBorders>
            <w:vAlign w:val="center"/>
          </w:tcPr>
          <w:p>
            <w:pPr>
              <w:spacing w:line="360" w:lineRule="auto"/>
              <w:jc w:val="center"/>
              <w:rPr>
                <w:rFonts w:ascii="宋体" w:hAnsi="宋体" w:cs="宋体"/>
                <w:sz w:val="18"/>
                <w:szCs w:val="18"/>
              </w:rPr>
            </w:pPr>
            <w:r>
              <w:rPr>
                <w:rFonts w:hint="eastAsia" w:ascii="宋体" w:hAnsi="宋体" w:cs="宋体"/>
                <w:sz w:val="18"/>
                <w:szCs w:val="18"/>
              </w:rPr>
              <w:t>C</w:t>
            </w:r>
          </w:p>
        </w:tc>
        <w:tc>
          <w:tcPr>
            <w:tcW w:w="715" w:type="pct"/>
            <w:tcBorders>
              <w:bottom w:val="single" w:color="auto" w:sz="8" w:space="0"/>
            </w:tcBorders>
            <w:vAlign w:val="center"/>
          </w:tcPr>
          <w:p>
            <w:pPr>
              <w:spacing w:line="360" w:lineRule="auto"/>
              <w:jc w:val="center"/>
              <w:rPr>
                <w:rFonts w:ascii="宋体" w:cs="宋体"/>
                <w:sz w:val="18"/>
                <w:szCs w:val="18"/>
              </w:rPr>
            </w:pPr>
            <w:r>
              <w:rPr>
                <w:rFonts w:hint="eastAsia" w:ascii="宋体" w:cs="宋体"/>
                <w:sz w:val="18"/>
                <w:szCs w:val="18"/>
              </w:rPr>
              <w:t>8.2</w:t>
            </w:r>
          </w:p>
        </w:tc>
        <w:tc>
          <w:tcPr>
            <w:tcW w:w="805" w:type="pct"/>
            <w:tcBorders>
              <w:bottom w:val="single" w:color="auto" w:sz="8" w:space="0"/>
            </w:tcBorders>
            <w:vAlign w:val="center"/>
          </w:tcPr>
          <w:p>
            <w:pPr>
              <w:spacing w:line="360" w:lineRule="auto"/>
              <w:jc w:val="center"/>
              <w:rPr>
                <w:rFonts w:ascii="宋体" w:cs="宋体"/>
                <w:sz w:val="18"/>
                <w:szCs w:val="18"/>
              </w:rPr>
            </w:pPr>
            <w:r>
              <w:rPr>
                <w:rFonts w:ascii="宋体" w:hAnsi="宋体" w:cs="宋体"/>
                <w:sz w:val="18"/>
                <w:szCs w:val="18"/>
              </w:rPr>
              <w:t>S-2</w:t>
            </w:r>
          </w:p>
        </w:tc>
        <w:tc>
          <w:tcPr>
            <w:tcW w:w="1069" w:type="pct"/>
            <w:tcBorders>
              <w:top w:val="single" w:color="auto" w:sz="4" w:space="0"/>
              <w:bottom w:val="single" w:color="auto" w:sz="8" w:space="0"/>
              <w:right w:val="single" w:color="auto" w:sz="8" w:space="0"/>
            </w:tcBorders>
            <w:vAlign w:val="center"/>
          </w:tcPr>
          <w:p>
            <w:pPr>
              <w:spacing w:line="360" w:lineRule="auto"/>
              <w:jc w:val="center"/>
              <w:rPr>
                <w:rFonts w:ascii="宋体" w:hAnsi="宋体" w:cs="宋体"/>
                <w:sz w:val="18"/>
                <w:szCs w:val="18"/>
              </w:rPr>
            </w:pPr>
          </w:p>
        </w:tc>
      </w:tr>
    </w:tbl>
    <w:p>
      <w:pPr>
        <w:pStyle w:val="116"/>
        <w:spacing w:before="156" w:after="156"/>
        <w:ind w:left="0"/>
      </w:pPr>
      <w:bookmarkStart w:id="147" w:name="_Toc65063235"/>
      <w:r>
        <w:rPr>
          <w:rFonts w:hint="eastAsia"/>
        </w:rPr>
        <w:t>型式检验</w:t>
      </w:r>
      <w:bookmarkEnd w:id="147"/>
    </w:p>
    <w:p>
      <w:pPr>
        <w:pStyle w:val="176"/>
        <w:ind w:left="0"/>
      </w:pPr>
      <w:r>
        <w:rPr>
          <w:rFonts w:hint="eastAsia"/>
        </w:rPr>
        <w:t>在下列情况之一时，应进行型式检验：</w:t>
      </w:r>
    </w:p>
    <w:p>
      <w:pPr>
        <w:pStyle w:val="185"/>
        <w:numPr>
          <w:ilvl w:val="0"/>
          <w:numId w:val="42"/>
        </w:numPr>
      </w:pPr>
      <w:r>
        <w:rPr>
          <w:rFonts w:hint="eastAsia"/>
        </w:rPr>
        <w:t>新产品或老产品转厂生产的试制定型鉴定；</w:t>
      </w:r>
    </w:p>
    <w:p>
      <w:pPr>
        <w:pStyle w:val="185"/>
      </w:pPr>
      <w:r>
        <w:rPr>
          <w:rFonts w:hint="eastAsia"/>
        </w:rPr>
        <w:t>正式生产后，如结构、材料、工艺有较大改变，可能影响产品性能时；</w:t>
      </w:r>
    </w:p>
    <w:p>
      <w:pPr>
        <w:pStyle w:val="185"/>
      </w:pPr>
      <w:r>
        <w:rPr>
          <w:rFonts w:hint="eastAsia"/>
        </w:rPr>
        <w:t>批量生产时进行周期检验，每年至少一次；</w:t>
      </w:r>
    </w:p>
    <w:p>
      <w:pPr>
        <w:pStyle w:val="185"/>
      </w:pPr>
      <w:r>
        <w:rPr>
          <w:rFonts w:hint="eastAsia"/>
        </w:rPr>
        <w:t>停产半年以上恢复生产时；</w:t>
      </w:r>
    </w:p>
    <w:p>
      <w:pPr>
        <w:pStyle w:val="185"/>
      </w:pPr>
      <w:r>
        <w:rPr>
          <w:rFonts w:hint="eastAsia"/>
        </w:rPr>
        <w:t>出厂检验结果与上次型式检验结果有较大差异时；</w:t>
      </w:r>
    </w:p>
    <w:p>
      <w:pPr>
        <w:pStyle w:val="185"/>
      </w:pPr>
      <w:r>
        <w:rPr>
          <w:rFonts w:hint="eastAsia"/>
        </w:rPr>
        <w:t>国家质量监督机构提出进行型式检验要求时。</w:t>
      </w:r>
    </w:p>
    <w:p>
      <w:pPr>
        <w:pStyle w:val="176"/>
        <w:ind w:left="0"/>
      </w:pPr>
      <w:r>
        <w:rPr>
          <w:rFonts w:hint="eastAsia"/>
        </w:rPr>
        <w:t>型式检验的项目、技术要求和不合格类别按表</w:t>
      </w:r>
      <w:r>
        <w:t>6</w:t>
      </w:r>
      <w:r>
        <w:rPr>
          <w:rFonts w:hint="eastAsia"/>
        </w:rPr>
        <w:t>的规定。</w:t>
      </w:r>
    </w:p>
    <w:p>
      <w:pPr>
        <w:pStyle w:val="123"/>
        <w:spacing w:before="156" w:after="156"/>
        <w:ind w:left="0"/>
      </w:pPr>
      <w:r>
        <w:rPr>
          <w:rFonts w:hint="eastAsia"/>
        </w:rPr>
        <w:t>型式检验项目、技术要求和不合格类别</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
        <w:gridCol w:w="1156"/>
        <w:gridCol w:w="1604"/>
        <w:gridCol w:w="1602"/>
        <w:gridCol w:w="1602"/>
        <w:gridCol w:w="1602"/>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tblHeader/>
          <w:jc w:val="center"/>
        </w:trPr>
        <w:tc>
          <w:tcPr>
            <w:tcW w:w="210" w:type="pct"/>
            <w:tcBorders>
              <w:top w:val="single" w:color="auto" w:sz="8" w:space="0"/>
              <w:left w:val="single" w:color="auto" w:sz="8" w:space="0"/>
              <w:bottom w:val="single" w:color="auto" w:sz="8" w:space="0"/>
            </w:tcBorders>
            <w:noWrap/>
            <w:vAlign w:val="center"/>
          </w:tcPr>
          <w:p>
            <w:pPr>
              <w:adjustRightInd/>
              <w:spacing w:line="240" w:lineRule="auto"/>
              <w:jc w:val="center"/>
              <w:rPr>
                <w:rFonts w:ascii="宋体" w:hAnsi="宋体"/>
                <w:sz w:val="18"/>
                <w:szCs w:val="18"/>
              </w:rPr>
            </w:pPr>
            <w:r>
              <w:rPr>
                <w:rFonts w:hint="eastAsia" w:ascii="宋体" w:hAnsi="宋体"/>
                <w:sz w:val="18"/>
                <w:szCs w:val="18"/>
              </w:rPr>
              <w:t>序号</w:t>
            </w:r>
          </w:p>
        </w:tc>
        <w:tc>
          <w:tcPr>
            <w:tcW w:w="604" w:type="pct"/>
            <w:tcBorders>
              <w:top w:val="single" w:color="auto" w:sz="8" w:space="0"/>
              <w:bottom w:val="single" w:color="auto" w:sz="8" w:space="0"/>
            </w:tcBorders>
            <w:vAlign w:val="center"/>
          </w:tcPr>
          <w:p>
            <w:pPr>
              <w:adjustRightInd/>
              <w:spacing w:line="240" w:lineRule="auto"/>
              <w:jc w:val="center"/>
              <w:rPr>
                <w:rFonts w:ascii="宋体" w:hAnsi="宋体"/>
                <w:sz w:val="18"/>
                <w:szCs w:val="18"/>
              </w:rPr>
            </w:pPr>
            <w:r>
              <w:rPr>
                <w:rFonts w:hint="eastAsia" w:ascii="宋体" w:hAnsi="宋体"/>
                <w:sz w:val="18"/>
                <w:szCs w:val="18"/>
              </w:rPr>
              <w:t>检验项目</w:t>
            </w:r>
          </w:p>
        </w:tc>
        <w:tc>
          <w:tcPr>
            <w:tcW w:w="838" w:type="pct"/>
            <w:tcBorders>
              <w:top w:val="single" w:color="auto" w:sz="8" w:space="0"/>
              <w:bottom w:val="single" w:color="auto" w:sz="8" w:space="0"/>
            </w:tcBorders>
            <w:vAlign w:val="center"/>
          </w:tcPr>
          <w:p>
            <w:pPr>
              <w:spacing w:line="240" w:lineRule="auto"/>
              <w:jc w:val="center"/>
              <w:rPr>
                <w:rFonts w:ascii="宋体" w:hAnsi="宋体"/>
                <w:sz w:val="18"/>
                <w:szCs w:val="18"/>
              </w:rPr>
            </w:pPr>
            <w:r>
              <w:rPr>
                <w:rFonts w:ascii="宋体" w:hAnsi="宋体"/>
                <w:sz w:val="18"/>
                <w:szCs w:val="18"/>
              </w:rPr>
              <w:t>不合格分类</w:t>
            </w:r>
          </w:p>
        </w:tc>
        <w:tc>
          <w:tcPr>
            <w:tcW w:w="837" w:type="pct"/>
            <w:tcBorders>
              <w:top w:val="single" w:color="auto" w:sz="8" w:space="0"/>
              <w:bottom w:val="single" w:color="auto" w:sz="8" w:space="0"/>
            </w:tcBorders>
            <w:vAlign w:val="center"/>
          </w:tcPr>
          <w:p>
            <w:pPr>
              <w:spacing w:line="240" w:lineRule="auto"/>
              <w:jc w:val="center"/>
              <w:rPr>
                <w:rFonts w:ascii="宋体" w:hAnsi="宋体"/>
                <w:sz w:val="18"/>
                <w:szCs w:val="18"/>
              </w:rPr>
            </w:pPr>
            <w:r>
              <w:rPr>
                <w:rFonts w:ascii="宋体" w:hAnsi="宋体"/>
                <w:sz w:val="18"/>
                <w:szCs w:val="18"/>
              </w:rPr>
              <w:t>要求</w:t>
            </w:r>
          </w:p>
        </w:tc>
        <w:tc>
          <w:tcPr>
            <w:tcW w:w="837" w:type="pct"/>
            <w:tcBorders>
              <w:top w:val="single" w:color="auto" w:sz="8" w:space="0"/>
              <w:bottom w:val="single" w:color="auto" w:sz="8" w:space="0"/>
            </w:tcBorders>
            <w:vAlign w:val="center"/>
          </w:tcPr>
          <w:p>
            <w:pPr>
              <w:spacing w:line="144" w:lineRule="auto"/>
              <w:jc w:val="center"/>
              <w:rPr>
                <w:sz w:val="18"/>
                <w:szCs w:val="18"/>
              </w:rPr>
            </w:pPr>
            <w:r>
              <w:rPr>
                <w:rFonts w:hint="eastAsia"/>
                <w:sz w:val="18"/>
                <w:szCs w:val="18"/>
              </w:rPr>
              <w:t>样本量</w:t>
            </w:r>
          </w:p>
          <w:p>
            <w:pPr>
              <w:spacing w:line="144" w:lineRule="auto"/>
              <w:jc w:val="center"/>
              <w:rPr>
                <w:sz w:val="18"/>
                <w:szCs w:val="18"/>
              </w:rPr>
            </w:pPr>
            <w:r>
              <w:rPr>
                <w:rFonts w:hint="eastAsia"/>
                <w:sz w:val="18"/>
                <w:szCs w:val="18"/>
              </w:rPr>
              <w:t>n</w:t>
            </w:r>
          </w:p>
        </w:tc>
        <w:tc>
          <w:tcPr>
            <w:tcW w:w="837" w:type="pct"/>
            <w:tcBorders>
              <w:top w:val="single" w:color="auto" w:sz="8" w:space="0"/>
              <w:bottom w:val="single" w:color="auto" w:sz="8" w:space="0"/>
            </w:tcBorders>
            <w:vAlign w:val="center"/>
          </w:tcPr>
          <w:p>
            <w:pPr>
              <w:spacing w:line="144" w:lineRule="auto"/>
              <w:jc w:val="center"/>
              <w:rPr>
                <w:rFonts w:ascii="宋体" w:hAnsi="宋体"/>
                <w:sz w:val="18"/>
                <w:szCs w:val="18"/>
              </w:rPr>
            </w:pPr>
            <w:r>
              <w:rPr>
                <w:rFonts w:hint="eastAsia" w:ascii="宋体" w:hAnsi="宋体"/>
                <w:sz w:val="18"/>
                <w:szCs w:val="18"/>
              </w:rPr>
              <w:t>判定数组</w:t>
            </w:r>
          </w:p>
          <w:p>
            <w:pPr>
              <w:spacing w:line="144" w:lineRule="auto"/>
              <w:jc w:val="center"/>
              <w:rPr>
                <w:rFonts w:ascii="宋体" w:hAnsi="宋体"/>
                <w:sz w:val="18"/>
                <w:szCs w:val="18"/>
              </w:rPr>
            </w:pPr>
            <w:r>
              <w:rPr>
                <w:rFonts w:hint="eastAsia" w:ascii="宋体" w:hAnsi="宋体"/>
                <w:sz w:val="18"/>
                <w:szCs w:val="18"/>
              </w:rPr>
              <w:t>Ac       Re</w:t>
            </w:r>
          </w:p>
        </w:tc>
        <w:tc>
          <w:tcPr>
            <w:tcW w:w="837" w:type="pct"/>
            <w:tcBorders>
              <w:top w:val="single" w:color="auto" w:sz="8" w:space="0"/>
              <w:bottom w:val="single" w:color="auto" w:sz="8" w:space="0"/>
              <w:right w:val="single" w:color="auto" w:sz="8" w:space="0"/>
            </w:tcBorders>
            <w:vAlign w:val="center"/>
          </w:tcPr>
          <w:p>
            <w:pPr>
              <w:spacing w:line="360" w:lineRule="auto"/>
              <w:jc w:val="center"/>
              <w:rPr>
                <w:rFonts w:ascii="宋体" w:hAnsi="宋体"/>
                <w:sz w:val="18"/>
                <w:szCs w:val="18"/>
              </w:rPr>
            </w:pPr>
            <w:r>
              <w:rPr>
                <w:rFonts w:hint="eastAsia" w:ascii="宋体" w:hAnsi="宋体"/>
                <w:sz w:val="18"/>
                <w:szCs w:val="18"/>
              </w:rPr>
              <w:t>组别（待定）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blHeader/>
          <w:jc w:val="center"/>
        </w:trPr>
        <w:tc>
          <w:tcPr>
            <w:tcW w:w="210" w:type="pct"/>
            <w:tcBorders>
              <w:top w:val="single" w:color="auto" w:sz="8" w:space="0"/>
              <w:left w:val="single" w:color="auto" w:sz="8" w:space="0"/>
            </w:tcBorders>
            <w:noWrap/>
            <w:vAlign w:val="center"/>
          </w:tcPr>
          <w:p>
            <w:pPr>
              <w:adjustRightInd/>
              <w:spacing w:line="240" w:lineRule="auto"/>
              <w:jc w:val="center"/>
              <w:rPr>
                <w:rFonts w:ascii="宋体" w:hAnsi="宋体"/>
                <w:sz w:val="18"/>
                <w:szCs w:val="18"/>
              </w:rPr>
            </w:pPr>
            <w:r>
              <w:rPr>
                <w:rFonts w:hint="eastAsia" w:ascii="宋体" w:hAnsi="宋体"/>
                <w:sz w:val="18"/>
                <w:szCs w:val="18"/>
              </w:rPr>
              <w:t>1</w:t>
            </w:r>
          </w:p>
        </w:tc>
        <w:tc>
          <w:tcPr>
            <w:tcW w:w="604" w:type="pct"/>
            <w:tcBorders>
              <w:top w:val="single" w:color="auto" w:sz="8" w:space="0"/>
            </w:tcBorders>
            <w:vAlign w:val="center"/>
          </w:tcPr>
          <w:p>
            <w:pPr>
              <w:adjustRightInd/>
              <w:spacing w:line="240" w:lineRule="auto"/>
              <w:jc w:val="center"/>
              <w:rPr>
                <w:rFonts w:ascii="宋体" w:hAnsi="宋体"/>
                <w:sz w:val="18"/>
                <w:szCs w:val="18"/>
              </w:rPr>
            </w:pPr>
            <w:r>
              <w:rPr>
                <w:rFonts w:hint="eastAsia" w:ascii="宋体" w:hAnsi="宋体"/>
                <w:sz w:val="18"/>
                <w:szCs w:val="18"/>
              </w:rPr>
              <w:t>安全性能</w:t>
            </w:r>
          </w:p>
        </w:tc>
        <w:tc>
          <w:tcPr>
            <w:tcW w:w="838" w:type="pct"/>
            <w:tcBorders>
              <w:top w:val="single" w:color="auto" w:sz="8" w:space="0"/>
            </w:tcBorders>
            <w:vAlign w:val="center"/>
          </w:tcPr>
          <w:p>
            <w:pPr>
              <w:adjustRightInd/>
              <w:spacing w:line="240" w:lineRule="auto"/>
              <w:jc w:val="center"/>
              <w:rPr>
                <w:rFonts w:ascii="宋体" w:hAnsi="宋体"/>
                <w:sz w:val="18"/>
                <w:szCs w:val="18"/>
              </w:rPr>
            </w:pPr>
            <w:r>
              <w:rPr>
                <w:rFonts w:hint="eastAsia" w:ascii="宋体" w:hAnsi="宋体"/>
                <w:sz w:val="18"/>
                <w:szCs w:val="18"/>
              </w:rPr>
              <w:t>A</w:t>
            </w:r>
          </w:p>
        </w:tc>
        <w:tc>
          <w:tcPr>
            <w:tcW w:w="837" w:type="pct"/>
            <w:tcBorders>
              <w:top w:val="single" w:color="auto" w:sz="8" w:space="0"/>
            </w:tcBorders>
            <w:vAlign w:val="center"/>
          </w:tcPr>
          <w:p>
            <w:pPr>
              <w:adjustRightInd/>
              <w:spacing w:line="240" w:lineRule="auto"/>
              <w:jc w:val="center"/>
              <w:rPr>
                <w:rFonts w:ascii="宋体" w:hAnsi="宋体"/>
                <w:sz w:val="18"/>
                <w:szCs w:val="18"/>
              </w:rPr>
            </w:pPr>
            <w:r>
              <w:rPr>
                <w:rFonts w:ascii="宋体" w:hAnsi="宋体"/>
                <w:sz w:val="18"/>
                <w:szCs w:val="18"/>
              </w:rPr>
              <w:t>5.2</w:t>
            </w:r>
          </w:p>
        </w:tc>
        <w:tc>
          <w:tcPr>
            <w:tcW w:w="837" w:type="pct"/>
            <w:tcBorders>
              <w:top w:val="single" w:color="auto" w:sz="8" w:space="0"/>
            </w:tcBorders>
            <w:vAlign w:val="center"/>
          </w:tcPr>
          <w:p>
            <w:pPr>
              <w:spacing w:line="144" w:lineRule="auto"/>
              <w:jc w:val="center"/>
              <w:rPr>
                <w:rFonts w:ascii="宋体" w:hAnsi="宋体" w:cs="宋体"/>
                <w:sz w:val="18"/>
                <w:szCs w:val="18"/>
              </w:rPr>
            </w:pPr>
            <w:r>
              <w:rPr>
                <w:rFonts w:hint="eastAsia" w:ascii="宋体" w:hAnsi="宋体" w:cs="宋体"/>
                <w:sz w:val="18"/>
                <w:szCs w:val="18"/>
              </w:rPr>
              <w:t>n=2</w:t>
            </w:r>
          </w:p>
        </w:tc>
        <w:tc>
          <w:tcPr>
            <w:tcW w:w="837" w:type="pct"/>
            <w:tcBorders>
              <w:top w:val="single" w:color="auto" w:sz="8" w:space="0"/>
            </w:tcBorders>
            <w:vAlign w:val="center"/>
          </w:tcPr>
          <w:p>
            <w:pPr>
              <w:spacing w:line="144" w:lineRule="auto"/>
              <w:jc w:val="center"/>
              <w:rPr>
                <w:rFonts w:ascii="宋体" w:hAnsi="宋体"/>
                <w:sz w:val="18"/>
                <w:szCs w:val="18"/>
              </w:rPr>
            </w:pPr>
            <w:r>
              <w:rPr>
                <w:rFonts w:ascii="宋体" w:hAnsi="宋体"/>
                <w:sz w:val="18"/>
                <w:szCs w:val="18"/>
              </w:rPr>
              <w:t>0</w:t>
            </w:r>
            <w:r>
              <w:rPr>
                <w:rFonts w:hint="eastAsia" w:ascii="宋体" w:hAnsi="宋体"/>
                <w:sz w:val="18"/>
                <w:szCs w:val="18"/>
              </w:rPr>
              <w:t xml:space="preserve">        1</w:t>
            </w:r>
          </w:p>
        </w:tc>
        <w:tc>
          <w:tcPr>
            <w:tcW w:w="837" w:type="pct"/>
            <w:tcBorders>
              <w:top w:val="single" w:color="auto" w:sz="8" w:space="0"/>
              <w:right w:val="single" w:color="auto" w:sz="8" w:space="0"/>
            </w:tcBorders>
          </w:tcPr>
          <w:p>
            <w:pPr>
              <w:adjustRightInd/>
              <w:spacing w:line="240"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blHeader/>
          <w:jc w:val="center"/>
        </w:trPr>
        <w:tc>
          <w:tcPr>
            <w:tcW w:w="210" w:type="pct"/>
            <w:tcBorders>
              <w:left w:val="single" w:color="auto" w:sz="8" w:space="0"/>
            </w:tcBorders>
            <w:noWrap/>
            <w:vAlign w:val="center"/>
          </w:tcPr>
          <w:p>
            <w:pPr>
              <w:adjustRightInd/>
              <w:spacing w:line="240" w:lineRule="auto"/>
              <w:jc w:val="center"/>
              <w:rPr>
                <w:rFonts w:ascii="宋体" w:hAnsi="宋体"/>
                <w:sz w:val="18"/>
                <w:szCs w:val="18"/>
              </w:rPr>
            </w:pPr>
            <w:r>
              <w:rPr>
                <w:rFonts w:hint="eastAsia" w:ascii="宋体" w:hAnsi="宋体"/>
                <w:sz w:val="18"/>
                <w:szCs w:val="18"/>
              </w:rPr>
              <w:t>2</w:t>
            </w:r>
          </w:p>
        </w:tc>
        <w:tc>
          <w:tcPr>
            <w:tcW w:w="604" w:type="pct"/>
            <w:vAlign w:val="center"/>
          </w:tcPr>
          <w:p>
            <w:pPr>
              <w:adjustRightInd/>
              <w:spacing w:line="240" w:lineRule="auto"/>
              <w:jc w:val="center"/>
              <w:rPr>
                <w:rFonts w:ascii="宋体" w:hAnsi="宋体"/>
                <w:sz w:val="18"/>
                <w:szCs w:val="18"/>
              </w:rPr>
            </w:pPr>
            <w:r>
              <w:rPr>
                <w:rFonts w:hint="eastAsia" w:ascii="宋体" w:hAnsi="宋体"/>
                <w:sz w:val="18"/>
                <w:szCs w:val="18"/>
              </w:rPr>
              <w:t>空气性能</w:t>
            </w:r>
          </w:p>
        </w:tc>
        <w:tc>
          <w:tcPr>
            <w:tcW w:w="838" w:type="pct"/>
            <w:vAlign w:val="center"/>
          </w:tcPr>
          <w:p>
            <w:pPr>
              <w:adjustRightInd/>
              <w:spacing w:line="240" w:lineRule="auto"/>
              <w:jc w:val="center"/>
              <w:rPr>
                <w:rFonts w:ascii="宋体" w:hAnsi="宋体"/>
                <w:sz w:val="18"/>
                <w:szCs w:val="18"/>
              </w:rPr>
            </w:pPr>
            <w:r>
              <w:rPr>
                <w:rFonts w:hint="eastAsia" w:ascii="宋体" w:hAnsi="宋体"/>
                <w:sz w:val="18"/>
                <w:szCs w:val="18"/>
              </w:rPr>
              <w:t>A</w:t>
            </w:r>
          </w:p>
        </w:tc>
        <w:tc>
          <w:tcPr>
            <w:tcW w:w="837" w:type="pct"/>
            <w:vAlign w:val="center"/>
          </w:tcPr>
          <w:p>
            <w:pPr>
              <w:adjustRightInd/>
              <w:spacing w:line="240" w:lineRule="auto"/>
              <w:jc w:val="center"/>
              <w:rPr>
                <w:rFonts w:ascii="宋体" w:hAnsi="宋体"/>
                <w:sz w:val="18"/>
                <w:szCs w:val="18"/>
              </w:rPr>
            </w:pPr>
            <w:r>
              <w:rPr>
                <w:rFonts w:ascii="宋体" w:hAnsi="宋体"/>
                <w:sz w:val="18"/>
                <w:szCs w:val="18"/>
              </w:rPr>
              <w:t>5.3</w:t>
            </w:r>
          </w:p>
        </w:tc>
        <w:tc>
          <w:tcPr>
            <w:tcW w:w="837" w:type="pct"/>
            <w:vAlign w:val="center"/>
          </w:tcPr>
          <w:p>
            <w:pPr>
              <w:spacing w:line="144" w:lineRule="auto"/>
              <w:jc w:val="center"/>
              <w:rPr>
                <w:rFonts w:ascii="宋体" w:hAnsi="宋体" w:cs="宋体"/>
                <w:sz w:val="18"/>
                <w:szCs w:val="18"/>
              </w:rPr>
            </w:pPr>
            <w:r>
              <w:rPr>
                <w:rFonts w:hint="eastAsia" w:ascii="宋体" w:hAnsi="宋体" w:cs="宋体"/>
                <w:sz w:val="18"/>
                <w:szCs w:val="18"/>
              </w:rPr>
              <w:t>n=2</w:t>
            </w:r>
          </w:p>
        </w:tc>
        <w:tc>
          <w:tcPr>
            <w:tcW w:w="837" w:type="pct"/>
            <w:vAlign w:val="center"/>
          </w:tcPr>
          <w:p>
            <w:pPr>
              <w:spacing w:line="144" w:lineRule="auto"/>
              <w:jc w:val="center"/>
              <w:rPr>
                <w:rFonts w:ascii="宋体" w:hAnsi="宋体"/>
                <w:sz w:val="18"/>
                <w:szCs w:val="18"/>
              </w:rPr>
            </w:pPr>
            <w:r>
              <w:rPr>
                <w:rFonts w:ascii="宋体" w:hAnsi="宋体"/>
                <w:sz w:val="18"/>
                <w:szCs w:val="18"/>
              </w:rPr>
              <w:t>0</w:t>
            </w:r>
            <w:r>
              <w:rPr>
                <w:rFonts w:hint="eastAsia" w:ascii="宋体" w:hAnsi="宋体"/>
                <w:sz w:val="18"/>
                <w:szCs w:val="18"/>
              </w:rPr>
              <w:t xml:space="preserve">        1</w:t>
            </w:r>
          </w:p>
        </w:tc>
        <w:tc>
          <w:tcPr>
            <w:tcW w:w="837" w:type="pct"/>
            <w:tcBorders>
              <w:right w:val="single" w:color="auto" w:sz="8" w:space="0"/>
            </w:tcBorders>
          </w:tcPr>
          <w:p>
            <w:pPr>
              <w:adjustRightInd/>
              <w:spacing w:line="240"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blHeader/>
          <w:jc w:val="center"/>
        </w:trPr>
        <w:tc>
          <w:tcPr>
            <w:tcW w:w="210" w:type="pct"/>
            <w:tcBorders>
              <w:left w:val="single" w:color="auto" w:sz="8" w:space="0"/>
              <w:bottom w:val="single" w:color="auto" w:sz="4" w:space="0"/>
            </w:tcBorders>
            <w:noWrap/>
            <w:vAlign w:val="center"/>
          </w:tcPr>
          <w:p>
            <w:pPr>
              <w:adjustRightInd/>
              <w:spacing w:line="240" w:lineRule="auto"/>
              <w:jc w:val="center"/>
              <w:rPr>
                <w:rFonts w:ascii="宋体" w:hAnsi="宋体"/>
                <w:sz w:val="18"/>
                <w:szCs w:val="18"/>
              </w:rPr>
            </w:pPr>
            <w:r>
              <w:rPr>
                <w:rFonts w:hint="eastAsia" w:ascii="宋体" w:hAnsi="宋体"/>
                <w:sz w:val="18"/>
                <w:szCs w:val="18"/>
              </w:rPr>
              <w:t>3</w:t>
            </w:r>
          </w:p>
        </w:tc>
        <w:tc>
          <w:tcPr>
            <w:tcW w:w="604" w:type="pct"/>
            <w:tcBorders>
              <w:bottom w:val="single" w:color="auto" w:sz="4" w:space="0"/>
            </w:tcBorders>
            <w:vAlign w:val="center"/>
          </w:tcPr>
          <w:p>
            <w:pPr>
              <w:adjustRightInd/>
              <w:spacing w:line="240" w:lineRule="auto"/>
              <w:jc w:val="center"/>
              <w:rPr>
                <w:rFonts w:ascii="宋体" w:hAnsi="宋体"/>
                <w:sz w:val="18"/>
                <w:szCs w:val="18"/>
              </w:rPr>
            </w:pPr>
            <w:r>
              <w:rPr>
                <w:rFonts w:hint="eastAsia" w:ascii="宋体" w:hAnsi="宋体"/>
                <w:sz w:val="18"/>
                <w:szCs w:val="18"/>
              </w:rPr>
              <w:t>噪声</w:t>
            </w:r>
          </w:p>
        </w:tc>
        <w:tc>
          <w:tcPr>
            <w:tcW w:w="838" w:type="pct"/>
            <w:tcBorders>
              <w:bottom w:val="single" w:color="auto" w:sz="4" w:space="0"/>
            </w:tcBorders>
            <w:vAlign w:val="center"/>
          </w:tcPr>
          <w:p>
            <w:pPr>
              <w:adjustRightInd/>
              <w:spacing w:line="240" w:lineRule="auto"/>
              <w:jc w:val="center"/>
              <w:rPr>
                <w:rFonts w:ascii="宋体" w:hAnsi="宋体"/>
                <w:sz w:val="18"/>
                <w:szCs w:val="18"/>
              </w:rPr>
            </w:pPr>
            <w:r>
              <w:rPr>
                <w:rFonts w:hint="eastAsia" w:ascii="宋体" w:hAnsi="宋体"/>
                <w:sz w:val="18"/>
                <w:szCs w:val="18"/>
              </w:rPr>
              <w:t>A</w:t>
            </w:r>
          </w:p>
        </w:tc>
        <w:tc>
          <w:tcPr>
            <w:tcW w:w="837" w:type="pct"/>
            <w:tcBorders>
              <w:bottom w:val="single" w:color="auto" w:sz="4" w:space="0"/>
            </w:tcBorders>
            <w:vAlign w:val="center"/>
          </w:tcPr>
          <w:p>
            <w:pPr>
              <w:adjustRightInd/>
              <w:spacing w:line="240" w:lineRule="auto"/>
              <w:jc w:val="center"/>
              <w:rPr>
                <w:rFonts w:ascii="宋体" w:hAnsi="宋体"/>
                <w:sz w:val="18"/>
                <w:szCs w:val="18"/>
              </w:rPr>
            </w:pPr>
            <w:r>
              <w:rPr>
                <w:rFonts w:ascii="宋体" w:hAnsi="宋体"/>
                <w:sz w:val="18"/>
                <w:szCs w:val="18"/>
              </w:rPr>
              <w:t>5.4</w:t>
            </w:r>
          </w:p>
        </w:tc>
        <w:tc>
          <w:tcPr>
            <w:tcW w:w="837" w:type="pct"/>
            <w:tcBorders>
              <w:bottom w:val="single" w:color="auto" w:sz="4" w:space="0"/>
            </w:tcBorders>
            <w:vAlign w:val="center"/>
          </w:tcPr>
          <w:p>
            <w:pPr>
              <w:spacing w:line="144" w:lineRule="auto"/>
              <w:jc w:val="center"/>
              <w:rPr>
                <w:rFonts w:ascii="宋体" w:hAnsi="宋体" w:cs="宋体"/>
                <w:sz w:val="18"/>
                <w:szCs w:val="18"/>
              </w:rPr>
            </w:pPr>
            <w:r>
              <w:rPr>
                <w:rFonts w:hint="eastAsia" w:ascii="宋体" w:hAnsi="宋体" w:cs="宋体"/>
                <w:sz w:val="18"/>
                <w:szCs w:val="18"/>
              </w:rPr>
              <w:t>n=2</w:t>
            </w:r>
          </w:p>
        </w:tc>
        <w:tc>
          <w:tcPr>
            <w:tcW w:w="837" w:type="pct"/>
            <w:tcBorders>
              <w:bottom w:val="single" w:color="auto" w:sz="4" w:space="0"/>
            </w:tcBorders>
            <w:vAlign w:val="center"/>
          </w:tcPr>
          <w:p>
            <w:pPr>
              <w:spacing w:line="144" w:lineRule="auto"/>
              <w:jc w:val="center"/>
              <w:rPr>
                <w:rFonts w:ascii="宋体" w:hAnsi="宋体"/>
                <w:sz w:val="18"/>
                <w:szCs w:val="18"/>
              </w:rPr>
            </w:pPr>
            <w:r>
              <w:rPr>
                <w:rFonts w:ascii="宋体" w:hAnsi="宋体"/>
                <w:sz w:val="18"/>
                <w:szCs w:val="18"/>
              </w:rPr>
              <w:t>0</w:t>
            </w:r>
            <w:r>
              <w:rPr>
                <w:rFonts w:hint="eastAsia" w:ascii="宋体" w:hAnsi="宋体"/>
                <w:sz w:val="18"/>
                <w:szCs w:val="18"/>
              </w:rPr>
              <w:t xml:space="preserve">        1</w:t>
            </w:r>
          </w:p>
        </w:tc>
        <w:tc>
          <w:tcPr>
            <w:tcW w:w="837" w:type="pct"/>
            <w:tcBorders>
              <w:bottom w:val="single" w:color="auto" w:sz="4" w:space="0"/>
              <w:right w:val="single" w:color="auto" w:sz="8" w:space="0"/>
            </w:tcBorders>
          </w:tcPr>
          <w:p>
            <w:pPr>
              <w:adjustRightInd/>
              <w:spacing w:line="240"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blHeader/>
          <w:jc w:val="center"/>
        </w:trPr>
        <w:tc>
          <w:tcPr>
            <w:tcW w:w="210" w:type="pct"/>
            <w:tcBorders>
              <w:left w:val="single" w:color="auto" w:sz="8" w:space="0"/>
              <w:bottom w:val="single" w:color="auto" w:sz="8" w:space="0"/>
            </w:tcBorders>
            <w:noWrap/>
            <w:vAlign w:val="center"/>
          </w:tcPr>
          <w:p>
            <w:pPr>
              <w:adjustRightInd/>
              <w:spacing w:line="240" w:lineRule="auto"/>
              <w:jc w:val="center"/>
              <w:rPr>
                <w:rFonts w:ascii="宋体" w:hAnsi="宋体"/>
                <w:color w:val="000000"/>
                <w:sz w:val="18"/>
                <w:szCs w:val="18"/>
              </w:rPr>
            </w:pPr>
            <w:r>
              <w:rPr>
                <w:rFonts w:hint="eastAsia" w:ascii="宋体" w:hAnsi="宋体"/>
                <w:color w:val="000000"/>
                <w:sz w:val="18"/>
                <w:szCs w:val="18"/>
              </w:rPr>
              <w:t>4</w:t>
            </w:r>
          </w:p>
        </w:tc>
        <w:tc>
          <w:tcPr>
            <w:tcW w:w="604" w:type="pct"/>
            <w:tcBorders>
              <w:bottom w:val="single" w:color="auto" w:sz="8" w:space="0"/>
            </w:tcBorders>
            <w:vAlign w:val="center"/>
          </w:tcPr>
          <w:p>
            <w:pPr>
              <w:adjustRightInd/>
              <w:spacing w:line="240" w:lineRule="auto"/>
              <w:jc w:val="center"/>
              <w:rPr>
                <w:rFonts w:ascii="宋体" w:hAnsi="宋体"/>
                <w:sz w:val="18"/>
                <w:szCs w:val="18"/>
              </w:rPr>
            </w:pPr>
            <w:r>
              <w:rPr>
                <w:rFonts w:hint="eastAsia" w:ascii="宋体" w:hAnsi="宋体"/>
                <w:sz w:val="18"/>
                <w:szCs w:val="18"/>
              </w:rPr>
              <w:t>照明</w:t>
            </w:r>
          </w:p>
        </w:tc>
        <w:tc>
          <w:tcPr>
            <w:tcW w:w="838" w:type="pct"/>
            <w:tcBorders>
              <w:bottom w:val="single" w:color="auto" w:sz="8" w:space="0"/>
            </w:tcBorders>
            <w:vAlign w:val="center"/>
          </w:tcPr>
          <w:p>
            <w:pPr>
              <w:adjustRightInd/>
              <w:spacing w:line="240" w:lineRule="auto"/>
              <w:jc w:val="center"/>
              <w:rPr>
                <w:rFonts w:ascii="宋体" w:hAnsi="宋体"/>
                <w:sz w:val="18"/>
                <w:szCs w:val="18"/>
              </w:rPr>
            </w:pPr>
            <w:r>
              <w:rPr>
                <w:rFonts w:hint="eastAsia" w:ascii="宋体" w:hAnsi="宋体"/>
                <w:sz w:val="18"/>
                <w:szCs w:val="18"/>
              </w:rPr>
              <w:t>C</w:t>
            </w:r>
          </w:p>
        </w:tc>
        <w:tc>
          <w:tcPr>
            <w:tcW w:w="837" w:type="pct"/>
            <w:tcBorders>
              <w:bottom w:val="single" w:color="auto" w:sz="8" w:space="0"/>
            </w:tcBorders>
            <w:vAlign w:val="center"/>
          </w:tcPr>
          <w:p>
            <w:pPr>
              <w:adjustRightInd/>
              <w:spacing w:line="240" w:lineRule="auto"/>
              <w:jc w:val="center"/>
              <w:rPr>
                <w:rFonts w:ascii="宋体" w:hAnsi="宋体"/>
                <w:sz w:val="18"/>
                <w:szCs w:val="18"/>
              </w:rPr>
            </w:pPr>
            <w:r>
              <w:rPr>
                <w:rFonts w:ascii="宋体" w:hAnsi="宋体"/>
                <w:sz w:val="18"/>
                <w:szCs w:val="18"/>
              </w:rPr>
              <w:t>5.5</w:t>
            </w:r>
          </w:p>
        </w:tc>
        <w:tc>
          <w:tcPr>
            <w:tcW w:w="837" w:type="pct"/>
            <w:tcBorders>
              <w:bottom w:val="single" w:color="auto" w:sz="8" w:space="0"/>
            </w:tcBorders>
            <w:vAlign w:val="center"/>
          </w:tcPr>
          <w:p>
            <w:pPr>
              <w:spacing w:line="144" w:lineRule="auto"/>
              <w:jc w:val="center"/>
              <w:rPr>
                <w:rFonts w:ascii="宋体" w:hAnsi="宋体" w:cs="宋体"/>
                <w:sz w:val="18"/>
                <w:szCs w:val="18"/>
              </w:rPr>
            </w:pPr>
            <w:r>
              <w:rPr>
                <w:rFonts w:hint="eastAsia" w:ascii="宋体" w:hAnsi="宋体" w:cs="宋体"/>
                <w:sz w:val="18"/>
                <w:szCs w:val="18"/>
              </w:rPr>
              <w:t>n=2</w:t>
            </w:r>
          </w:p>
        </w:tc>
        <w:tc>
          <w:tcPr>
            <w:tcW w:w="837" w:type="pct"/>
            <w:tcBorders>
              <w:bottom w:val="single" w:color="auto" w:sz="8" w:space="0"/>
            </w:tcBorders>
            <w:vAlign w:val="center"/>
          </w:tcPr>
          <w:p>
            <w:pPr>
              <w:spacing w:line="144" w:lineRule="auto"/>
              <w:jc w:val="center"/>
              <w:rPr>
                <w:rFonts w:ascii="宋体" w:hAnsi="宋体"/>
                <w:sz w:val="18"/>
                <w:szCs w:val="18"/>
              </w:rPr>
            </w:pPr>
            <w:r>
              <w:rPr>
                <w:rFonts w:ascii="宋体" w:hAnsi="宋体"/>
                <w:sz w:val="18"/>
                <w:szCs w:val="18"/>
              </w:rPr>
              <w:t>0</w:t>
            </w:r>
            <w:r>
              <w:rPr>
                <w:rFonts w:hint="eastAsia" w:ascii="宋体" w:hAnsi="宋体"/>
                <w:sz w:val="18"/>
                <w:szCs w:val="18"/>
              </w:rPr>
              <w:t xml:space="preserve">        1</w:t>
            </w:r>
          </w:p>
        </w:tc>
        <w:tc>
          <w:tcPr>
            <w:tcW w:w="837" w:type="pct"/>
            <w:tcBorders>
              <w:bottom w:val="single" w:color="auto" w:sz="8" w:space="0"/>
              <w:right w:val="single" w:color="auto" w:sz="8" w:space="0"/>
            </w:tcBorders>
          </w:tcPr>
          <w:p>
            <w:pPr>
              <w:adjustRightInd/>
              <w:spacing w:line="240"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blHeader/>
          <w:jc w:val="center"/>
        </w:trPr>
        <w:tc>
          <w:tcPr>
            <w:tcW w:w="210" w:type="pct"/>
            <w:tcBorders>
              <w:top w:val="single" w:color="auto" w:sz="8" w:space="0"/>
            </w:tcBorders>
            <w:noWrap/>
            <w:vAlign w:val="center"/>
          </w:tcPr>
          <w:p>
            <w:pPr>
              <w:adjustRightInd/>
              <w:spacing w:line="240" w:lineRule="auto"/>
              <w:jc w:val="center"/>
              <w:rPr>
                <w:rFonts w:ascii="宋体" w:hAnsi="宋体"/>
                <w:sz w:val="18"/>
                <w:szCs w:val="18"/>
              </w:rPr>
            </w:pPr>
            <w:r>
              <w:rPr>
                <w:rFonts w:hint="eastAsia" w:ascii="宋体" w:hAnsi="宋体"/>
                <w:sz w:val="18"/>
                <w:szCs w:val="18"/>
              </w:rPr>
              <w:t>5</w:t>
            </w:r>
          </w:p>
        </w:tc>
        <w:tc>
          <w:tcPr>
            <w:tcW w:w="604" w:type="pct"/>
            <w:tcBorders>
              <w:top w:val="single" w:color="auto" w:sz="8" w:space="0"/>
            </w:tcBorders>
            <w:vAlign w:val="center"/>
          </w:tcPr>
          <w:p>
            <w:pPr>
              <w:adjustRightInd/>
              <w:spacing w:line="240" w:lineRule="auto"/>
              <w:jc w:val="center"/>
              <w:rPr>
                <w:rFonts w:ascii="宋体" w:hAnsi="宋体"/>
                <w:sz w:val="18"/>
                <w:szCs w:val="18"/>
              </w:rPr>
            </w:pPr>
            <w:r>
              <w:rPr>
                <w:rFonts w:hint="eastAsia" w:ascii="宋体" w:hAnsi="宋体"/>
                <w:sz w:val="18"/>
                <w:szCs w:val="18"/>
              </w:rPr>
              <w:t>叶轮平稳性</w:t>
            </w:r>
          </w:p>
        </w:tc>
        <w:tc>
          <w:tcPr>
            <w:tcW w:w="838" w:type="pct"/>
            <w:tcBorders>
              <w:top w:val="single" w:color="auto" w:sz="8" w:space="0"/>
            </w:tcBorders>
            <w:vAlign w:val="center"/>
          </w:tcPr>
          <w:p>
            <w:pPr>
              <w:adjustRightInd/>
              <w:spacing w:line="240" w:lineRule="auto"/>
              <w:jc w:val="center"/>
              <w:rPr>
                <w:rFonts w:ascii="宋体" w:hAnsi="宋体"/>
                <w:sz w:val="18"/>
                <w:szCs w:val="18"/>
              </w:rPr>
            </w:pPr>
            <w:r>
              <w:rPr>
                <w:rFonts w:hint="eastAsia" w:ascii="宋体" w:hAnsi="宋体"/>
                <w:sz w:val="18"/>
                <w:szCs w:val="18"/>
              </w:rPr>
              <w:t>C</w:t>
            </w:r>
          </w:p>
        </w:tc>
        <w:tc>
          <w:tcPr>
            <w:tcW w:w="837" w:type="pct"/>
            <w:tcBorders>
              <w:top w:val="single" w:color="auto" w:sz="8" w:space="0"/>
            </w:tcBorders>
            <w:vAlign w:val="center"/>
          </w:tcPr>
          <w:p>
            <w:pPr>
              <w:adjustRightInd/>
              <w:spacing w:line="240" w:lineRule="auto"/>
              <w:jc w:val="center"/>
              <w:rPr>
                <w:rFonts w:ascii="宋体" w:hAnsi="宋体"/>
                <w:sz w:val="18"/>
                <w:szCs w:val="18"/>
              </w:rPr>
            </w:pPr>
            <w:r>
              <w:rPr>
                <w:rFonts w:ascii="宋体" w:hAnsi="宋体"/>
                <w:sz w:val="18"/>
                <w:szCs w:val="18"/>
              </w:rPr>
              <w:t>5.6</w:t>
            </w:r>
          </w:p>
        </w:tc>
        <w:tc>
          <w:tcPr>
            <w:tcW w:w="837" w:type="pct"/>
            <w:tcBorders>
              <w:top w:val="single" w:color="auto" w:sz="8" w:space="0"/>
            </w:tcBorders>
            <w:vAlign w:val="center"/>
          </w:tcPr>
          <w:p>
            <w:pPr>
              <w:spacing w:line="144" w:lineRule="auto"/>
              <w:jc w:val="center"/>
              <w:rPr>
                <w:rFonts w:ascii="宋体" w:hAnsi="宋体" w:cs="宋体"/>
                <w:sz w:val="18"/>
                <w:szCs w:val="18"/>
              </w:rPr>
            </w:pPr>
            <w:r>
              <w:rPr>
                <w:rFonts w:hint="eastAsia" w:ascii="宋体" w:hAnsi="宋体" w:cs="宋体"/>
                <w:sz w:val="18"/>
                <w:szCs w:val="18"/>
              </w:rPr>
              <w:t>n=2</w:t>
            </w:r>
          </w:p>
        </w:tc>
        <w:tc>
          <w:tcPr>
            <w:tcW w:w="837" w:type="pct"/>
            <w:tcBorders>
              <w:top w:val="single" w:color="auto" w:sz="8" w:space="0"/>
            </w:tcBorders>
            <w:vAlign w:val="center"/>
          </w:tcPr>
          <w:p>
            <w:pPr>
              <w:spacing w:line="144" w:lineRule="auto"/>
              <w:jc w:val="center"/>
              <w:rPr>
                <w:rFonts w:ascii="宋体" w:hAnsi="宋体"/>
                <w:sz w:val="18"/>
                <w:szCs w:val="18"/>
              </w:rPr>
            </w:pPr>
            <w:r>
              <w:rPr>
                <w:rFonts w:ascii="宋体" w:hAnsi="宋体"/>
                <w:sz w:val="18"/>
                <w:szCs w:val="18"/>
              </w:rPr>
              <w:t>0</w:t>
            </w:r>
            <w:r>
              <w:rPr>
                <w:rFonts w:hint="eastAsia" w:ascii="宋体" w:hAnsi="宋体"/>
                <w:sz w:val="18"/>
                <w:szCs w:val="18"/>
              </w:rPr>
              <w:t xml:space="preserve">        1</w:t>
            </w:r>
          </w:p>
        </w:tc>
        <w:tc>
          <w:tcPr>
            <w:tcW w:w="837" w:type="pct"/>
            <w:tcBorders>
              <w:top w:val="single" w:color="auto" w:sz="8" w:space="0"/>
            </w:tcBorders>
          </w:tcPr>
          <w:p>
            <w:pPr>
              <w:adjustRightInd/>
              <w:spacing w:line="240"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blHeader/>
          <w:jc w:val="center"/>
        </w:trPr>
        <w:tc>
          <w:tcPr>
            <w:tcW w:w="210" w:type="pct"/>
            <w:noWrap/>
            <w:vAlign w:val="center"/>
          </w:tcPr>
          <w:p>
            <w:pPr>
              <w:adjustRightInd/>
              <w:spacing w:line="240" w:lineRule="auto"/>
              <w:jc w:val="center"/>
              <w:rPr>
                <w:rFonts w:ascii="宋体" w:hAnsi="宋体"/>
                <w:sz w:val="18"/>
                <w:szCs w:val="18"/>
              </w:rPr>
            </w:pPr>
            <w:r>
              <w:rPr>
                <w:rFonts w:hint="eastAsia" w:ascii="宋体" w:hAnsi="宋体"/>
                <w:sz w:val="18"/>
                <w:szCs w:val="18"/>
              </w:rPr>
              <w:t>6</w:t>
            </w:r>
          </w:p>
        </w:tc>
        <w:tc>
          <w:tcPr>
            <w:tcW w:w="604" w:type="pct"/>
            <w:vAlign w:val="center"/>
          </w:tcPr>
          <w:p>
            <w:pPr>
              <w:adjustRightInd/>
              <w:spacing w:line="240" w:lineRule="auto"/>
              <w:jc w:val="center"/>
              <w:rPr>
                <w:rFonts w:ascii="宋体" w:hAnsi="宋体"/>
                <w:sz w:val="18"/>
                <w:szCs w:val="18"/>
              </w:rPr>
            </w:pPr>
            <w:r>
              <w:rPr>
                <w:rFonts w:hint="eastAsia" w:ascii="宋体" w:hAnsi="宋体"/>
                <w:sz w:val="18"/>
                <w:szCs w:val="18"/>
              </w:rPr>
              <w:t>外观</w:t>
            </w:r>
          </w:p>
        </w:tc>
        <w:tc>
          <w:tcPr>
            <w:tcW w:w="838" w:type="pct"/>
            <w:vAlign w:val="center"/>
          </w:tcPr>
          <w:p>
            <w:pPr>
              <w:adjustRightInd/>
              <w:spacing w:line="240" w:lineRule="auto"/>
              <w:jc w:val="center"/>
              <w:rPr>
                <w:rFonts w:ascii="宋体" w:hAnsi="宋体"/>
                <w:sz w:val="18"/>
                <w:szCs w:val="18"/>
              </w:rPr>
            </w:pPr>
            <w:r>
              <w:rPr>
                <w:rFonts w:ascii="宋体" w:hAnsi="宋体"/>
                <w:sz w:val="18"/>
                <w:szCs w:val="18"/>
              </w:rPr>
              <w:t>C</w:t>
            </w:r>
          </w:p>
        </w:tc>
        <w:tc>
          <w:tcPr>
            <w:tcW w:w="837" w:type="pct"/>
            <w:vAlign w:val="center"/>
          </w:tcPr>
          <w:p>
            <w:pPr>
              <w:adjustRightInd/>
              <w:spacing w:line="240" w:lineRule="auto"/>
              <w:jc w:val="center"/>
              <w:rPr>
                <w:rFonts w:ascii="宋体" w:hAnsi="宋体"/>
                <w:sz w:val="18"/>
                <w:szCs w:val="18"/>
              </w:rPr>
            </w:pPr>
            <w:r>
              <w:rPr>
                <w:rFonts w:hint="eastAsia" w:ascii="宋体" w:hAnsi="宋体"/>
                <w:sz w:val="18"/>
                <w:szCs w:val="18"/>
              </w:rPr>
              <w:t>5.7</w:t>
            </w:r>
          </w:p>
        </w:tc>
        <w:tc>
          <w:tcPr>
            <w:tcW w:w="837" w:type="pct"/>
            <w:vAlign w:val="center"/>
          </w:tcPr>
          <w:p>
            <w:pPr>
              <w:spacing w:line="144" w:lineRule="auto"/>
              <w:jc w:val="center"/>
              <w:rPr>
                <w:rFonts w:ascii="宋体" w:hAnsi="宋体" w:cs="宋体"/>
                <w:sz w:val="18"/>
                <w:szCs w:val="18"/>
              </w:rPr>
            </w:pPr>
            <w:r>
              <w:rPr>
                <w:rFonts w:hint="eastAsia" w:ascii="宋体" w:hAnsi="宋体" w:cs="宋体"/>
                <w:sz w:val="18"/>
                <w:szCs w:val="18"/>
              </w:rPr>
              <w:t>n=2</w:t>
            </w:r>
          </w:p>
        </w:tc>
        <w:tc>
          <w:tcPr>
            <w:tcW w:w="837" w:type="pct"/>
            <w:vAlign w:val="center"/>
          </w:tcPr>
          <w:p>
            <w:pPr>
              <w:spacing w:line="144" w:lineRule="auto"/>
              <w:jc w:val="center"/>
              <w:rPr>
                <w:rFonts w:ascii="宋体" w:hAnsi="宋体"/>
                <w:sz w:val="18"/>
                <w:szCs w:val="18"/>
              </w:rPr>
            </w:pPr>
            <w:r>
              <w:rPr>
                <w:rFonts w:ascii="宋体" w:hAnsi="宋体"/>
                <w:sz w:val="18"/>
                <w:szCs w:val="18"/>
              </w:rPr>
              <w:t>0</w:t>
            </w:r>
            <w:r>
              <w:rPr>
                <w:rFonts w:hint="eastAsia" w:ascii="宋体" w:hAnsi="宋体"/>
                <w:sz w:val="18"/>
                <w:szCs w:val="18"/>
              </w:rPr>
              <w:t xml:space="preserve">        1</w:t>
            </w:r>
          </w:p>
        </w:tc>
        <w:tc>
          <w:tcPr>
            <w:tcW w:w="837" w:type="pct"/>
          </w:tcPr>
          <w:p>
            <w:pPr>
              <w:adjustRightInd/>
              <w:spacing w:line="240"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blHeader/>
          <w:jc w:val="center"/>
        </w:trPr>
        <w:tc>
          <w:tcPr>
            <w:tcW w:w="210" w:type="pct"/>
            <w:noWrap/>
            <w:vAlign w:val="center"/>
          </w:tcPr>
          <w:p>
            <w:pPr>
              <w:adjustRightInd/>
              <w:spacing w:line="240" w:lineRule="auto"/>
              <w:jc w:val="center"/>
              <w:rPr>
                <w:rFonts w:ascii="宋体" w:hAnsi="宋体"/>
                <w:sz w:val="18"/>
                <w:szCs w:val="18"/>
              </w:rPr>
            </w:pPr>
            <w:r>
              <w:rPr>
                <w:rFonts w:hint="eastAsia" w:ascii="宋体" w:hAnsi="宋体"/>
                <w:sz w:val="18"/>
                <w:szCs w:val="18"/>
              </w:rPr>
              <w:t>7</w:t>
            </w:r>
          </w:p>
        </w:tc>
        <w:tc>
          <w:tcPr>
            <w:tcW w:w="604" w:type="pct"/>
            <w:vAlign w:val="center"/>
          </w:tcPr>
          <w:p>
            <w:pPr>
              <w:adjustRightInd/>
              <w:spacing w:line="240" w:lineRule="auto"/>
              <w:jc w:val="center"/>
              <w:rPr>
                <w:rFonts w:ascii="宋体" w:hAnsi="宋体"/>
                <w:sz w:val="18"/>
                <w:szCs w:val="18"/>
              </w:rPr>
            </w:pPr>
            <w:r>
              <w:rPr>
                <w:rFonts w:hint="eastAsia" w:ascii="宋体" w:hAnsi="宋体"/>
                <w:sz w:val="18"/>
                <w:szCs w:val="18"/>
              </w:rPr>
              <w:t>寿命</w:t>
            </w:r>
          </w:p>
        </w:tc>
        <w:tc>
          <w:tcPr>
            <w:tcW w:w="838" w:type="pct"/>
            <w:vAlign w:val="center"/>
          </w:tcPr>
          <w:p>
            <w:pPr>
              <w:adjustRightInd/>
              <w:spacing w:line="240" w:lineRule="auto"/>
              <w:jc w:val="center"/>
              <w:rPr>
                <w:rFonts w:ascii="宋体" w:hAnsi="宋体"/>
                <w:sz w:val="18"/>
                <w:szCs w:val="18"/>
              </w:rPr>
            </w:pPr>
            <w:r>
              <w:rPr>
                <w:rFonts w:hint="eastAsia" w:ascii="宋体" w:hAnsi="宋体"/>
                <w:sz w:val="18"/>
                <w:szCs w:val="18"/>
              </w:rPr>
              <w:t>C</w:t>
            </w:r>
          </w:p>
        </w:tc>
        <w:tc>
          <w:tcPr>
            <w:tcW w:w="837" w:type="pct"/>
            <w:vAlign w:val="center"/>
          </w:tcPr>
          <w:p>
            <w:pPr>
              <w:adjustRightInd/>
              <w:spacing w:line="240" w:lineRule="auto"/>
              <w:jc w:val="center"/>
              <w:rPr>
                <w:rFonts w:ascii="宋体" w:hAnsi="宋体"/>
                <w:sz w:val="18"/>
                <w:szCs w:val="18"/>
              </w:rPr>
            </w:pPr>
            <w:r>
              <w:rPr>
                <w:rFonts w:hint="eastAsia" w:ascii="宋体" w:hAnsi="宋体"/>
                <w:sz w:val="18"/>
                <w:szCs w:val="18"/>
              </w:rPr>
              <w:t>5.8</w:t>
            </w:r>
          </w:p>
        </w:tc>
        <w:tc>
          <w:tcPr>
            <w:tcW w:w="837" w:type="pct"/>
            <w:vAlign w:val="center"/>
          </w:tcPr>
          <w:p>
            <w:pPr>
              <w:spacing w:line="144" w:lineRule="auto"/>
              <w:jc w:val="center"/>
              <w:rPr>
                <w:rFonts w:ascii="宋体" w:hAnsi="宋体" w:cs="宋体"/>
                <w:sz w:val="18"/>
                <w:szCs w:val="18"/>
              </w:rPr>
            </w:pPr>
            <w:r>
              <w:rPr>
                <w:rFonts w:hint="eastAsia" w:ascii="宋体" w:hAnsi="宋体" w:cs="宋体"/>
                <w:sz w:val="18"/>
                <w:szCs w:val="18"/>
              </w:rPr>
              <w:t>n=2</w:t>
            </w:r>
          </w:p>
        </w:tc>
        <w:tc>
          <w:tcPr>
            <w:tcW w:w="837" w:type="pct"/>
            <w:vAlign w:val="center"/>
          </w:tcPr>
          <w:p>
            <w:pPr>
              <w:spacing w:line="144" w:lineRule="auto"/>
              <w:jc w:val="center"/>
              <w:rPr>
                <w:rFonts w:ascii="宋体" w:hAnsi="宋体"/>
                <w:sz w:val="18"/>
                <w:szCs w:val="18"/>
              </w:rPr>
            </w:pPr>
            <w:r>
              <w:rPr>
                <w:rFonts w:ascii="宋体" w:hAnsi="宋体"/>
                <w:sz w:val="18"/>
                <w:szCs w:val="18"/>
              </w:rPr>
              <w:t>0</w:t>
            </w:r>
            <w:r>
              <w:rPr>
                <w:rFonts w:hint="eastAsia" w:ascii="宋体" w:hAnsi="宋体"/>
                <w:sz w:val="18"/>
                <w:szCs w:val="18"/>
              </w:rPr>
              <w:t xml:space="preserve">        1</w:t>
            </w:r>
          </w:p>
        </w:tc>
        <w:tc>
          <w:tcPr>
            <w:tcW w:w="837" w:type="pct"/>
          </w:tcPr>
          <w:p>
            <w:pPr>
              <w:adjustRightInd/>
              <w:spacing w:line="240"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blHeader/>
          <w:jc w:val="center"/>
        </w:trPr>
        <w:tc>
          <w:tcPr>
            <w:tcW w:w="210" w:type="pct"/>
            <w:noWrap/>
            <w:vAlign w:val="center"/>
          </w:tcPr>
          <w:p>
            <w:pPr>
              <w:adjustRightInd/>
              <w:spacing w:line="240" w:lineRule="auto"/>
              <w:jc w:val="center"/>
              <w:rPr>
                <w:rFonts w:ascii="宋体" w:hAnsi="宋体"/>
                <w:sz w:val="18"/>
                <w:szCs w:val="18"/>
              </w:rPr>
            </w:pPr>
            <w:r>
              <w:rPr>
                <w:rFonts w:hint="eastAsia" w:ascii="宋体" w:hAnsi="宋体"/>
                <w:sz w:val="18"/>
                <w:szCs w:val="18"/>
              </w:rPr>
              <w:t>8</w:t>
            </w:r>
          </w:p>
        </w:tc>
        <w:tc>
          <w:tcPr>
            <w:tcW w:w="604" w:type="pct"/>
            <w:vAlign w:val="center"/>
          </w:tcPr>
          <w:p>
            <w:pPr>
              <w:adjustRightInd/>
              <w:spacing w:line="240" w:lineRule="auto"/>
              <w:jc w:val="center"/>
              <w:rPr>
                <w:rFonts w:ascii="宋体" w:hAnsi="宋体"/>
                <w:sz w:val="18"/>
                <w:szCs w:val="18"/>
              </w:rPr>
            </w:pPr>
            <w:r>
              <w:rPr>
                <w:rFonts w:hint="eastAsia" w:ascii="宋体" w:hAnsi="宋体"/>
                <w:sz w:val="18"/>
                <w:szCs w:val="18"/>
              </w:rPr>
              <w:t>气味降低度</w:t>
            </w:r>
          </w:p>
        </w:tc>
        <w:tc>
          <w:tcPr>
            <w:tcW w:w="838" w:type="pct"/>
            <w:vAlign w:val="center"/>
          </w:tcPr>
          <w:p>
            <w:pPr>
              <w:adjustRightInd/>
              <w:spacing w:line="240" w:lineRule="auto"/>
              <w:jc w:val="center"/>
              <w:rPr>
                <w:rFonts w:ascii="宋体" w:hAnsi="宋体"/>
                <w:sz w:val="18"/>
                <w:szCs w:val="18"/>
              </w:rPr>
            </w:pPr>
            <w:r>
              <w:rPr>
                <w:rFonts w:hint="eastAsia" w:ascii="宋体" w:hAnsi="宋体"/>
                <w:sz w:val="18"/>
                <w:szCs w:val="18"/>
              </w:rPr>
              <w:t>B</w:t>
            </w:r>
          </w:p>
        </w:tc>
        <w:tc>
          <w:tcPr>
            <w:tcW w:w="837" w:type="pct"/>
            <w:vAlign w:val="center"/>
          </w:tcPr>
          <w:p>
            <w:pPr>
              <w:adjustRightInd/>
              <w:spacing w:line="240" w:lineRule="auto"/>
              <w:jc w:val="center"/>
              <w:rPr>
                <w:rFonts w:ascii="宋体" w:hAnsi="宋体"/>
                <w:sz w:val="18"/>
                <w:szCs w:val="18"/>
              </w:rPr>
            </w:pPr>
            <w:r>
              <w:rPr>
                <w:rFonts w:ascii="宋体" w:hAnsi="宋体"/>
                <w:sz w:val="18"/>
                <w:szCs w:val="18"/>
              </w:rPr>
              <w:t>5.9</w:t>
            </w:r>
          </w:p>
        </w:tc>
        <w:tc>
          <w:tcPr>
            <w:tcW w:w="837" w:type="pct"/>
            <w:vAlign w:val="center"/>
          </w:tcPr>
          <w:p>
            <w:pPr>
              <w:spacing w:line="144" w:lineRule="auto"/>
              <w:jc w:val="center"/>
              <w:rPr>
                <w:rFonts w:ascii="宋体" w:hAnsi="宋体" w:cs="宋体"/>
                <w:sz w:val="18"/>
                <w:szCs w:val="18"/>
              </w:rPr>
            </w:pPr>
            <w:r>
              <w:rPr>
                <w:rFonts w:hint="eastAsia" w:ascii="宋体" w:hAnsi="宋体" w:cs="宋体"/>
                <w:sz w:val="18"/>
                <w:szCs w:val="18"/>
              </w:rPr>
              <w:t>n=2</w:t>
            </w:r>
          </w:p>
        </w:tc>
        <w:tc>
          <w:tcPr>
            <w:tcW w:w="837" w:type="pct"/>
            <w:vAlign w:val="center"/>
          </w:tcPr>
          <w:p>
            <w:pPr>
              <w:spacing w:line="144" w:lineRule="auto"/>
              <w:jc w:val="center"/>
              <w:rPr>
                <w:rFonts w:ascii="宋体" w:hAnsi="宋体"/>
                <w:sz w:val="18"/>
                <w:szCs w:val="18"/>
              </w:rPr>
            </w:pPr>
            <w:r>
              <w:rPr>
                <w:rFonts w:ascii="宋体" w:hAnsi="宋体"/>
                <w:sz w:val="18"/>
                <w:szCs w:val="18"/>
              </w:rPr>
              <w:t>0</w:t>
            </w:r>
            <w:r>
              <w:rPr>
                <w:rFonts w:hint="eastAsia" w:ascii="宋体" w:hAnsi="宋体"/>
                <w:sz w:val="18"/>
                <w:szCs w:val="18"/>
              </w:rPr>
              <w:t xml:space="preserve">        1</w:t>
            </w:r>
          </w:p>
        </w:tc>
        <w:tc>
          <w:tcPr>
            <w:tcW w:w="837" w:type="pct"/>
          </w:tcPr>
          <w:p>
            <w:pPr>
              <w:adjustRightInd/>
              <w:spacing w:line="240"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blHeader/>
          <w:jc w:val="center"/>
        </w:trPr>
        <w:tc>
          <w:tcPr>
            <w:tcW w:w="210" w:type="pct"/>
            <w:noWrap/>
            <w:vAlign w:val="center"/>
          </w:tcPr>
          <w:p>
            <w:pPr>
              <w:adjustRightInd/>
              <w:spacing w:line="240" w:lineRule="auto"/>
              <w:jc w:val="center"/>
              <w:rPr>
                <w:rFonts w:ascii="宋体" w:hAnsi="宋体"/>
                <w:sz w:val="18"/>
                <w:szCs w:val="18"/>
              </w:rPr>
            </w:pPr>
            <w:r>
              <w:rPr>
                <w:rFonts w:hint="eastAsia" w:ascii="宋体" w:hAnsi="宋体"/>
                <w:sz w:val="18"/>
                <w:szCs w:val="18"/>
              </w:rPr>
              <w:t>9</w:t>
            </w:r>
          </w:p>
        </w:tc>
        <w:tc>
          <w:tcPr>
            <w:tcW w:w="604" w:type="pct"/>
            <w:vAlign w:val="center"/>
          </w:tcPr>
          <w:p>
            <w:pPr>
              <w:adjustRightInd/>
              <w:spacing w:line="240" w:lineRule="auto"/>
              <w:jc w:val="center"/>
              <w:rPr>
                <w:rFonts w:ascii="宋体" w:hAnsi="宋体"/>
                <w:sz w:val="18"/>
                <w:szCs w:val="18"/>
              </w:rPr>
            </w:pPr>
            <w:r>
              <w:rPr>
                <w:rFonts w:hint="eastAsia" w:ascii="宋体" w:hAnsi="宋体"/>
                <w:sz w:val="18"/>
                <w:szCs w:val="18"/>
              </w:rPr>
              <w:t>油脂分离度</w:t>
            </w:r>
          </w:p>
        </w:tc>
        <w:tc>
          <w:tcPr>
            <w:tcW w:w="838" w:type="pct"/>
            <w:vAlign w:val="center"/>
          </w:tcPr>
          <w:p>
            <w:pPr>
              <w:adjustRightInd/>
              <w:spacing w:line="240" w:lineRule="auto"/>
              <w:jc w:val="center"/>
              <w:rPr>
                <w:rFonts w:ascii="宋体" w:hAnsi="宋体"/>
                <w:sz w:val="18"/>
                <w:szCs w:val="18"/>
              </w:rPr>
            </w:pPr>
            <w:r>
              <w:rPr>
                <w:rFonts w:hint="eastAsia" w:ascii="宋体" w:hAnsi="宋体"/>
                <w:sz w:val="18"/>
                <w:szCs w:val="18"/>
              </w:rPr>
              <w:t>B</w:t>
            </w:r>
          </w:p>
        </w:tc>
        <w:tc>
          <w:tcPr>
            <w:tcW w:w="837" w:type="pct"/>
            <w:vAlign w:val="center"/>
          </w:tcPr>
          <w:p>
            <w:pPr>
              <w:adjustRightInd/>
              <w:spacing w:line="240" w:lineRule="auto"/>
              <w:jc w:val="center"/>
              <w:rPr>
                <w:rFonts w:ascii="宋体" w:hAnsi="宋体"/>
                <w:sz w:val="18"/>
                <w:szCs w:val="18"/>
              </w:rPr>
            </w:pPr>
            <w:r>
              <w:rPr>
                <w:rFonts w:ascii="宋体" w:hAnsi="宋体"/>
                <w:sz w:val="18"/>
                <w:szCs w:val="18"/>
              </w:rPr>
              <w:t>5.10</w:t>
            </w:r>
          </w:p>
        </w:tc>
        <w:tc>
          <w:tcPr>
            <w:tcW w:w="837" w:type="pct"/>
            <w:vAlign w:val="center"/>
          </w:tcPr>
          <w:p>
            <w:pPr>
              <w:spacing w:line="144" w:lineRule="auto"/>
              <w:jc w:val="center"/>
              <w:rPr>
                <w:rFonts w:ascii="宋体" w:hAnsi="宋体" w:cs="宋体"/>
                <w:sz w:val="18"/>
                <w:szCs w:val="18"/>
              </w:rPr>
            </w:pPr>
            <w:r>
              <w:rPr>
                <w:rFonts w:hint="eastAsia" w:ascii="宋体" w:hAnsi="宋体" w:cs="宋体"/>
                <w:sz w:val="18"/>
                <w:szCs w:val="18"/>
              </w:rPr>
              <w:t>n=2</w:t>
            </w:r>
          </w:p>
        </w:tc>
        <w:tc>
          <w:tcPr>
            <w:tcW w:w="837" w:type="pct"/>
            <w:vAlign w:val="center"/>
          </w:tcPr>
          <w:p>
            <w:pPr>
              <w:spacing w:line="144" w:lineRule="auto"/>
              <w:jc w:val="center"/>
              <w:rPr>
                <w:rFonts w:ascii="宋体" w:hAnsi="宋体"/>
                <w:sz w:val="18"/>
                <w:szCs w:val="18"/>
              </w:rPr>
            </w:pPr>
            <w:r>
              <w:rPr>
                <w:rFonts w:ascii="宋体" w:hAnsi="宋体"/>
                <w:sz w:val="18"/>
                <w:szCs w:val="18"/>
              </w:rPr>
              <w:t>0</w:t>
            </w:r>
            <w:r>
              <w:rPr>
                <w:rFonts w:hint="eastAsia" w:ascii="宋体" w:hAnsi="宋体"/>
                <w:sz w:val="18"/>
                <w:szCs w:val="18"/>
              </w:rPr>
              <w:t xml:space="preserve">        1</w:t>
            </w:r>
          </w:p>
        </w:tc>
        <w:tc>
          <w:tcPr>
            <w:tcW w:w="837" w:type="pct"/>
          </w:tcPr>
          <w:p>
            <w:pPr>
              <w:adjustRightInd/>
              <w:spacing w:line="240"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blHeader/>
          <w:jc w:val="center"/>
        </w:trPr>
        <w:tc>
          <w:tcPr>
            <w:tcW w:w="210" w:type="pct"/>
            <w:noWrap/>
            <w:vAlign w:val="center"/>
          </w:tcPr>
          <w:p>
            <w:pPr>
              <w:adjustRightInd/>
              <w:spacing w:line="240" w:lineRule="auto"/>
              <w:jc w:val="center"/>
              <w:rPr>
                <w:rFonts w:ascii="宋体" w:hAnsi="宋体"/>
                <w:sz w:val="18"/>
                <w:szCs w:val="18"/>
              </w:rPr>
            </w:pPr>
            <w:r>
              <w:rPr>
                <w:rFonts w:hint="eastAsia" w:ascii="宋体" w:hAnsi="宋体"/>
                <w:sz w:val="18"/>
                <w:szCs w:val="18"/>
              </w:rPr>
              <w:t>10</w:t>
            </w:r>
          </w:p>
        </w:tc>
        <w:tc>
          <w:tcPr>
            <w:tcW w:w="604" w:type="pct"/>
            <w:vAlign w:val="center"/>
          </w:tcPr>
          <w:p>
            <w:pPr>
              <w:adjustRightInd/>
              <w:spacing w:line="240" w:lineRule="auto"/>
              <w:jc w:val="center"/>
              <w:rPr>
                <w:rFonts w:ascii="宋体" w:hAnsi="宋体"/>
                <w:sz w:val="18"/>
                <w:szCs w:val="18"/>
              </w:rPr>
            </w:pPr>
            <w:r>
              <w:rPr>
                <w:rFonts w:hint="eastAsia" w:ascii="宋体" w:hAnsi="宋体"/>
                <w:sz w:val="18"/>
                <w:szCs w:val="18"/>
              </w:rPr>
              <w:t>包装性能</w:t>
            </w:r>
          </w:p>
        </w:tc>
        <w:tc>
          <w:tcPr>
            <w:tcW w:w="838" w:type="pct"/>
            <w:vAlign w:val="center"/>
          </w:tcPr>
          <w:p>
            <w:pPr>
              <w:adjustRightInd/>
              <w:spacing w:line="240" w:lineRule="auto"/>
              <w:jc w:val="center"/>
              <w:rPr>
                <w:rFonts w:ascii="宋体" w:hAnsi="宋体"/>
                <w:sz w:val="18"/>
                <w:szCs w:val="18"/>
              </w:rPr>
            </w:pPr>
            <w:r>
              <w:rPr>
                <w:rFonts w:ascii="宋体" w:hAnsi="宋体"/>
                <w:sz w:val="18"/>
                <w:szCs w:val="18"/>
              </w:rPr>
              <w:t>B</w:t>
            </w:r>
          </w:p>
        </w:tc>
        <w:tc>
          <w:tcPr>
            <w:tcW w:w="837" w:type="pct"/>
            <w:vAlign w:val="center"/>
          </w:tcPr>
          <w:p>
            <w:pPr>
              <w:adjustRightInd/>
              <w:spacing w:line="240" w:lineRule="auto"/>
              <w:jc w:val="center"/>
              <w:rPr>
                <w:rFonts w:ascii="宋体" w:hAnsi="宋体"/>
                <w:sz w:val="18"/>
                <w:szCs w:val="18"/>
              </w:rPr>
            </w:pPr>
            <w:r>
              <w:rPr>
                <w:rFonts w:ascii="宋体" w:hAnsi="宋体"/>
                <w:sz w:val="18"/>
                <w:szCs w:val="18"/>
              </w:rPr>
              <w:t>5.11</w:t>
            </w:r>
          </w:p>
        </w:tc>
        <w:tc>
          <w:tcPr>
            <w:tcW w:w="837" w:type="pct"/>
            <w:vAlign w:val="center"/>
          </w:tcPr>
          <w:p>
            <w:pPr>
              <w:spacing w:line="144" w:lineRule="auto"/>
              <w:jc w:val="center"/>
              <w:rPr>
                <w:rFonts w:ascii="宋体" w:hAnsi="宋体" w:cs="宋体"/>
                <w:sz w:val="18"/>
                <w:szCs w:val="18"/>
              </w:rPr>
            </w:pPr>
            <w:r>
              <w:rPr>
                <w:rFonts w:hint="eastAsia" w:ascii="宋体" w:hAnsi="宋体" w:cs="宋体"/>
                <w:sz w:val="18"/>
                <w:szCs w:val="18"/>
              </w:rPr>
              <w:t>n=2</w:t>
            </w:r>
          </w:p>
        </w:tc>
        <w:tc>
          <w:tcPr>
            <w:tcW w:w="837" w:type="pct"/>
            <w:vAlign w:val="center"/>
          </w:tcPr>
          <w:p>
            <w:pPr>
              <w:spacing w:line="144" w:lineRule="auto"/>
              <w:jc w:val="center"/>
              <w:rPr>
                <w:rFonts w:ascii="宋体" w:hAnsi="宋体"/>
                <w:sz w:val="18"/>
                <w:szCs w:val="18"/>
              </w:rPr>
            </w:pPr>
            <w:r>
              <w:rPr>
                <w:rFonts w:ascii="宋体" w:hAnsi="宋体"/>
                <w:sz w:val="18"/>
                <w:szCs w:val="18"/>
              </w:rPr>
              <w:t>0</w:t>
            </w:r>
            <w:r>
              <w:rPr>
                <w:rFonts w:hint="eastAsia" w:ascii="宋体" w:hAnsi="宋体"/>
                <w:sz w:val="18"/>
                <w:szCs w:val="18"/>
              </w:rPr>
              <w:t xml:space="preserve">        1</w:t>
            </w:r>
          </w:p>
        </w:tc>
        <w:tc>
          <w:tcPr>
            <w:tcW w:w="837" w:type="pct"/>
          </w:tcPr>
          <w:p>
            <w:pPr>
              <w:adjustRightInd/>
              <w:spacing w:line="240"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blHeader/>
          <w:jc w:val="center"/>
        </w:trPr>
        <w:tc>
          <w:tcPr>
            <w:tcW w:w="210" w:type="pct"/>
            <w:noWrap/>
            <w:vAlign w:val="center"/>
          </w:tcPr>
          <w:p>
            <w:pPr>
              <w:adjustRightInd/>
              <w:spacing w:line="240" w:lineRule="auto"/>
              <w:jc w:val="center"/>
              <w:rPr>
                <w:rFonts w:ascii="宋体" w:hAnsi="宋体"/>
                <w:sz w:val="18"/>
                <w:szCs w:val="18"/>
              </w:rPr>
            </w:pPr>
            <w:r>
              <w:rPr>
                <w:rFonts w:hint="eastAsia" w:ascii="宋体" w:hAnsi="宋体"/>
                <w:sz w:val="18"/>
                <w:szCs w:val="18"/>
              </w:rPr>
              <w:t>11</w:t>
            </w:r>
          </w:p>
        </w:tc>
        <w:tc>
          <w:tcPr>
            <w:tcW w:w="604" w:type="pct"/>
            <w:vAlign w:val="center"/>
          </w:tcPr>
          <w:p>
            <w:pPr>
              <w:adjustRightInd/>
              <w:spacing w:line="240" w:lineRule="auto"/>
              <w:jc w:val="center"/>
              <w:rPr>
                <w:rFonts w:ascii="宋体" w:hAnsi="宋体"/>
                <w:sz w:val="18"/>
                <w:szCs w:val="18"/>
              </w:rPr>
            </w:pPr>
            <w:r>
              <w:rPr>
                <w:rFonts w:ascii="宋体" w:hAnsi="宋体"/>
                <w:sz w:val="18"/>
                <w:szCs w:val="18"/>
              </w:rPr>
              <w:t>产品标志</w:t>
            </w:r>
          </w:p>
        </w:tc>
        <w:tc>
          <w:tcPr>
            <w:tcW w:w="838" w:type="pct"/>
            <w:vAlign w:val="center"/>
          </w:tcPr>
          <w:p>
            <w:pPr>
              <w:adjustRightInd/>
              <w:spacing w:line="240" w:lineRule="auto"/>
              <w:jc w:val="center"/>
              <w:rPr>
                <w:rFonts w:ascii="宋体" w:hAnsi="宋体"/>
                <w:sz w:val="18"/>
                <w:szCs w:val="18"/>
              </w:rPr>
            </w:pPr>
            <w:r>
              <w:rPr>
                <w:rFonts w:ascii="宋体" w:hAnsi="宋体"/>
                <w:sz w:val="18"/>
                <w:szCs w:val="18"/>
              </w:rPr>
              <w:t>C</w:t>
            </w:r>
          </w:p>
        </w:tc>
        <w:tc>
          <w:tcPr>
            <w:tcW w:w="837" w:type="pct"/>
            <w:vAlign w:val="center"/>
          </w:tcPr>
          <w:p>
            <w:pPr>
              <w:adjustRightInd/>
              <w:spacing w:line="240" w:lineRule="auto"/>
              <w:jc w:val="center"/>
              <w:rPr>
                <w:rFonts w:ascii="宋体" w:hAnsi="宋体"/>
                <w:sz w:val="18"/>
                <w:szCs w:val="18"/>
              </w:rPr>
            </w:pPr>
            <w:r>
              <w:rPr>
                <w:rFonts w:hint="eastAsia" w:ascii="宋体" w:hAnsi="宋体"/>
                <w:sz w:val="18"/>
                <w:szCs w:val="18"/>
              </w:rPr>
              <w:t>8.1.2，8.1.3</w:t>
            </w:r>
          </w:p>
        </w:tc>
        <w:tc>
          <w:tcPr>
            <w:tcW w:w="837" w:type="pct"/>
            <w:vAlign w:val="center"/>
          </w:tcPr>
          <w:p>
            <w:pPr>
              <w:spacing w:line="144" w:lineRule="auto"/>
              <w:jc w:val="center"/>
              <w:rPr>
                <w:rFonts w:ascii="宋体" w:hAnsi="宋体" w:cs="宋体"/>
                <w:sz w:val="18"/>
                <w:szCs w:val="18"/>
              </w:rPr>
            </w:pPr>
            <w:r>
              <w:rPr>
                <w:rFonts w:hint="eastAsia" w:ascii="宋体" w:hAnsi="宋体" w:cs="宋体"/>
                <w:sz w:val="18"/>
                <w:szCs w:val="18"/>
              </w:rPr>
              <w:t>n=2</w:t>
            </w:r>
          </w:p>
        </w:tc>
        <w:tc>
          <w:tcPr>
            <w:tcW w:w="837" w:type="pct"/>
            <w:vAlign w:val="center"/>
          </w:tcPr>
          <w:p>
            <w:pPr>
              <w:spacing w:line="144" w:lineRule="auto"/>
              <w:jc w:val="center"/>
              <w:rPr>
                <w:rFonts w:ascii="宋体" w:hAnsi="宋体"/>
                <w:sz w:val="18"/>
                <w:szCs w:val="18"/>
              </w:rPr>
            </w:pPr>
            <w:r>
              <w:rPr>
                <w:rFonts w:ascii="宋体" w:hAnsi="宋体"/>
                <w:sz w:val="18"/>
                <w:szCs w:val="18"/>
              </w:rPr>
              <w:t>0</w:t>
            </w:r>
            <w:r>
              <w:rPr>
                <w:rFonts w:hint="eastAsia" w:ascii="宋体" w:hAnsi="宋体"/>
                <w:sz w:val="18"/>
                <w:szCs w:val="18"/>
              </w:rPr>
              <w:t xml:space="preserve">        1</w:t>
            </w:r>
          </w:p>
        </w:tc>
        <w:tc>
          <w:tcPr>
            <w:tcW w:w="837" w:type="pct"/>
          </w:tcPr>
          <w:p>
            <w:pPr>
              <w:adjustRightInd/>
              <w:spacing w:line="240"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210" w:type="pct"/>
            <w:noWrap/>
            <w:vAlign w:val="center"/>
          </w:tcPr>
          <w:p>
            <w:pPr>
              <w:adjustRightInd/>
              <w:spacing w:line="240" w:lineRule="auto"/>
              <w:jc w:val="center"/>
              <w:rPr>
                <w:rFonts w:ascii="宋体" w:hAnsi="宋体"/>
                <w:sz w:val="18"/>
                <w:szCs w:val="18"/>
              </w:rPr>
            </w:pPr>
            <w:r>
              <w:rPr>
                <w:rFonts w:hint="eastAsia" w:ascii="宋体" w:hAnsi="宋体"/>
                <w:sz w:val="18"/>
                <w:szCs w:val="18"/>
              </w:rPr>
              <w:t>12</w:t>
            </w:r>
          </w:p>
        </w:tc>
        <w:tc>
          <w:tcPr>
            <w:tcW w:w="604" w:type="pct"/>
            <w:vAlign w:val="center"/>
          </w:tcPr>
          <w:p>
            <w:pPr>
              <w:adjustRightInd/>
              <w:spacing w:line="240" w:lineRule="auto"/>
              <w:jc w:val="center"/>
              <w:rPr>
                <w:rFonts w:ascii="宋体" w:hAnsi="宋体"/>
                <w:sz w:val="18"/>
                <w:szCs w:val="18"/>
              </w:rPr>
            </w:pPr>
            <w:r>
              <w:rPr>
                <w:rFonts w:hint="eastAsia" w:ascii="宋体" w:hAnsi="宋体"/>
                <w:sz w:val="18"/>
                <w:szCs w:val="18"/>
              </w:rPr>
              <w:t>包装标志</w:t>
            </w:r>
          </w:p>
        </w:tc>
        <w:tc>
          <w:tcPr>
            <w:tcW w:w="838" w:type="pct"/>
            <w:vAlign w:val="center"/>
          </w:tcPr>
          <w:p>
            <w:pPr>
              <w:adjustRightInd/>
              <w:spacing w:line="240" w:lineRule="auto"/>
              <w:jc w:val="center"/>
              <w:rPr>
                <w:rFonts w:ascii="宋体" w:hAnsi="宋体"/>
                <w:sz w:val="18"/>
                <w:szCs w:val="18"/>
              </w:rPr>
            </w:pPr>
            <w:r>
              <w:rPr>
                <w:rFonts w:ascii="宋体" w:hAnsi="宋体"/>
                <w:sz w:val="18"/>
                <w:szCs w:val="18"/>
              </w:rPr>
              <w:t>C</w:t>
            </w:r>
          </w:p>
        </w:tc>
        <w:tc>
          <w:tcPr>
            <w:tcW w:w="837" w:type="pct"/>
            <w:vAlign w:val="center"/>
          </w:tcPr>
          <w:p>
            <w:pPr>
              <w:adjustRightInd/>
              <w:spacing w:line="240" w:lineRule="auto"/>
              <w:jc w:val="center"/>
              <w:rPr>
                <w:rFonts w:ascii="宋体" w:hAnsi="宋体"/>
                <w:sz w:val="18"/>
                <w:szCs w:val="18"/>
              </w:rPr>
            </w:pPr>
            <w:r>
              <w:rPr>
                <w:rFonts w:ascii="宋体" w:hAnsi="宋体"/>
                <w:sz w:val="18"/>
                <w:szCs w:val="18"/>
              </w:rPr>
              <w:t>8.1.4</w:t>
            </w:r>
          </w:p>
        </w:tc>
        <w:tc>
          <w:tcPr>
            <w:tcW w:w="837" w:type="pct"/>
            <w:vAlign w:val="center"/>
          </w:tcPr>
          <w:p>
            <w:pPr>
              <w:spacing w:line="144" w:lineRule="auto"/>
              <w:jc w:val="center"/>
              <w:rPr>
                <w:rFonts w:ascii="宋体" w:hAnsi="宋体" w:cs="宋体"/>
                <w:sz w:val="18"/>
                <w:szCs w:val="18"/>
              </w:rPr>
            </w:pPr>
            <w:r>
              <w:rPr>
                <w:rFonts w:hint="eastAsia" w:ascii="宋体" w:hAnsi="宋体" w:cs="宋体"/>
                <w:sz w:val="18"/>
                <w:szCs w:val="18"/>
              </w:rPr>
              <w:t>n=2</w:t>
            </w:r>
          </w:p>
        </w:tc>
        <w:tc>
          <w:tcPr>
            <w:tcW w:w="837" w:type="pct"/>
            <w:vAlign w:val="center"/>
          </w:tcPr>
          <w:p>
            <w:pPr>
              <w:spacing w:line="144" w:lineRule="auto"/>
              <w:jc w:val="center"/>
              <w:rPr>
                <w:rFonts w:ascii="宋体" w:hAnsi="宋体"/>
                <w:sz w:val="18"/>
                <w:szCs w:val="18"/>
              </w:rPr>
            </w:pPr>
            <w:r>
              <w:rPr>
                <w:rFonts w:ascii="宋体" w:hAnsi="宋体"/>
                <w:sz w:val="18"/>
                <w:szCs w:val="18"/>
              </w:rPr>
              <w:t>0</w:t>
            </w:r>
            <w:r>
              <w:rPr>
                <w:rFonts w:hint="eastAsia" w:ascii="宋体" w:hAnsi="宋体"/>
                <w:sz w:val="18"/>
                <w:szCs w:val="18"/>
              </w:rPr>
              <w:t xml:space="preserve">        1</w:t>
            </w:r>
          </w:p>
        </w:tc>
        <w:tc>
          <w:tcPr>
            <w:tcW w:w="837" w:type="pct"/>
          </w:tcPr>
          <w:p>
            <w:pPr>
              <w:adjustRightInd/>
              <w:spacing w:line="240"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210" w:type="pct"/>
            <w:noWrap/>
            <w:vAlign w:val="center"/>
          </w:tcPr>
          <w:p>
            <w:pPr>
              <w:adjustRightInd/>
              <w:spacing w:line="240" w:lineRule="auto"/>
              <w:jc w:val="center"/>
              <w:rPr>
                <w:rFonts w:ascii="宋体" w:hAnsi="宋体"/>
                <w:sz w:val="18"/>
                <w:szCs w:val="18"/>
              </w:rPr>
            </w:pPr>
            <w:r>
              <w:rPr>
                <w:rFonts w:hint="eastAsia" w:ascii="宋体" w:hAnsi="宋体"/>
                <w:sz w:val="18"/>
                <w:szCs w:val="18"/>
              </w:rPr>
              <w:t>13</w:t>
            </w:r>
          </w:p>
        </w:tc>
        <w:tc>
          <w:tcPr>
            <w:tcW w:w="604" w:type="pct"/>
            <w:vAlign w:val="center"/>
          </w:tcPr>
          <w:p>
            <w:pPr>
              <w:adjustRightInd/>
              <w:spacing w:line="240" w:lineRule="auto"/>
              <w:jc w:val="center"/>
              <w:rPr>
                <w:rFonts w:ascii="宋体" w:hAnsi="宋体"/>
                <w:sz w:val="18"/>
                <w:szCs w:val="18"/>
              </w:rPr>
            </w:pPr>
            <w:r>
              <w:rPr>
                <w:rFonts w:hint="eastAsia" w:ascii="宋体" w:hAnsi="宋体"/>
                <w:sz w:val="18"/>
                <w:szCs w:val="18"/>
              </w:rPr>
              <w:t>包装</w:t>
            </w:r>
          </w:p>
        </w:tc>
        <w:tc>
          <w:tcPr>
            <w:tcW w:w="838" w:type="pct"/>
            <w:vAlign w:val="center"/>
          </w:tcPr>
          <w:p>
            <w:pPr>
              <w:adjustRightInd/>
              <w:spacing w:line="240" w:lineRule="auto"/>
              <w:jc w:val="center"/>
              <w:rPr>
                <w:rFonts w:ascii="宋体" w:hAnsi="宋体"/>
                <w:sz w:val="18"/>
                <w:szCs w:val="18"/>
              </w:rPr>
            </w:pPr>
            <w:r>
              <w:rPr>
                <w:rFonts w:ascii="宋体" w:hAnsi="宋体"/>
                <w:sz w:val="18"/>
                <w:szCs w:val="18"/>
              </w:rPr>
              <w:t>C</w:t>
            </w:r>
          </w:p>
        </w:tc>
        <w:tc>
          <w:tcPr>
            <w:tcW w:w="837" w:type="pct"/>
            <w:vAlign w:val="center"/>
          </w:tcPr>
          <w:p>
            <w:pPr>
              <w:adjustRightInd/>
              <w:spacing w:line="240" w:lineRule="auto"/>
              <w:jc w:val="center"/>
              <w:rPr>
                <w:rFonts w:ascii="宋体" w:hAnsi="宋体"/>
                <w:sz w:val="18"/>
                <w:szCs w:val="18"/>
              </w:rPr>
            </w:pPr>
            <w:r>
              <w:rPr>
                <w:rFonts w:ascii="宋体" w:hAnsi="宋体"/>
                <w:sz w:val="18"/>
                <w:szCs w:val="18"/>
              </w:rPr>
              <w:t>8.2</w:t>
            </w:r>
          </w:p>
        </w:tc>
        <w:tc>
          <w:tcPr>
            <w:tcW w:w="837" w:type="pct"/>
            <w:vAlign w:val="center"/>
          </w:tcPr>
          <w:p>
            <w:pPr>
              <w:spacing w:line="144" w:lineRule="auto"/>
              <w:jc w:val="center"/>
              <w:rPr>
                <w:rFonts w:ascii="宋体" w:hAnsi="宋体" w:cs="宋体"/>
                <w:sz w:val="18"/>
                <w:szCs w:val="18"/>
              </w:rPr>
            </w:pPr>
            <w:r>
              <w:rPr>
                <w:rFonts w:hint="eastAsia" w:ascii="宋体" w:hAnsi="宋体" w:cs="宋体"/>
                <w:sz w:val="18"/>
                <w:szCs w:val="18"/>
              </w:rPr>
              <w:t>n=2</w:t>
            </w:r>
          </w:p>
        </w:tc>
        <w:tc>
          <w:tcPr>
            <w:tcW w:w="837" w:type="pct"/>
            <w:vAlign w:val="center"/>
          </w:tcPr>
          <w:p>
            <w:pPr>
              <w:spacing w:line="144" w:lineRule="auto"/>
              <w:jc w:val="center"/>
              <w:rPr>
                <w:rFonts w:ascii="宋体" w:hAnsi="宋体"/>
                <w:sz w:val="18"/>
                <w:szCs w:val="18"/>
              </w:rPr>
            </w:pPr>
            <w:r>
              <w:rPr>
                <w:rFonts w:ascii="宋体" w:hAnsi="宋体"/>
                <w:sz w:val="18"/>
                <w:szCs w:val="18"/>
              </w:rPr>
              <w:t>0</w:t>
            </w:r>
            <w:r>
              <w:rPr>
                <w:rFonts w:hint="eastAsia" w:ascii="宋体" w:hAnsi="宋体"/>
                <w:sz w:val="18"/>
                <w:szCs w:val="18"/>
              </w:rPr>
              <w:t xml:space="preserve">        1</w:t>
            </w:r>
          </w:p>
        </w:tc>
        <w:tc>
          <w:tcPr>
            <w:tcW w:w="837" w:type="pct"/>
          </w:tcPr>
          <w:p>
            <w:pPr>
              <w:adjustRightInd/>
              <w:spacing w:line="240"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5000" w:type="pct"/>
            <w:gridSpan w:val="7"/>
            <w:tcBorders>
              <w:bottom w:val="single" w:color="auto" w:sz="8" w:space="0"/>
            </w:tcBorders>
            <w:noWrap/>
            <w:vAlign w:val="center"/>
          </w:tcPr>
          <w:p>
            <w:pPr>
              <w:adjustRightInd/>
              <w:spacing w:line="240" w:lineRule="auto"/>
              <w:ind w:firstLine="360" w:firstLineChars="200"/>
              <w:jc w:val="left"/>
              <w:rPr>
                <w:rFonts w:ascii="宋体" w:hAnsi="宋体"/>
                <w:sz w:val="18"/>
                <w:szCs w:val="18"/>
              </w:rPr>
            </w:pPr>
            <w:r>
              <w:rPr>
                <w:rFonts w:ascii="黑体" w:hAnsi="黑体" w:eastAsia="黑体"/>
                <w:sz w:val="18"/>
                <w:szCs w:val="18"/>
              </w:rPr>
              <w:t>注</w:t>
            </w:r>
            <w:r>
              <w:rPr>
                <w:rFonts w:hint="eastAsia" w:ascii="黑体" w:hAnsi="黑体" w:eastAsia="黑体"/>
                <w:sz w:val="18"/>
                <w:szCs w:val="18"/>
              </w:rPr>
              <w:t>：</w:t>
            </w:r>
            <w:r>
              <w:rPr>
                <w:rFonts w:ascii="宋体" w:hAnsi="宋体"/>
                <w:sz w:val="18"/>
                <w:szCs w:val="18"/>
              </w:rPr>
              <w:t>产品型式检验按表6的顺序进行，如果某些试验项目和试验结果与进行该项试验的先后次序无关，则表6所列的试验顺序可以更改</w:t>
            </w:r>
            <w:r>
              <w:rPr>
                <w:rFonts w:hint="eastAsia" w:ascii="宋体" w:hAnsi="宋体"/>
                <w:sz w:val="18"/>
                <w:szCs w:val="18"/>
              </w:rPr>
              <w:t>。</w:t>
            </w:r>
          </w:p>
        </w:tc>
      </w:tr>
    </w:tbl>
    <w:p/>
    <w:p>
      <w:pPr>
        <w:pStyle w:val="176"/>
        <w:ind w:left="0"/>
      </w:pPr>
      <w:r>
        <w:rPr>
          <w:rFonts w:hint="eastAsia"/>
        </w:rPr>
        <w:t>样品经检验，出现以下情形时，则本次型式试验不合格：</w:t>
      </w:r>
    </w:p>
    <w:p>
      <w:pPr>
        <w:pStyle w:val="185"/>
        <w:numPr>
          <w:ilvl w:val="0"/>
          <w:numId w:val="43"/>
        </w:numPr>
      </w:pPr>
      <w:r>
        <w:rPr>
          <w:rFonts w:hint="eastAsia"/>
        </w:rPr>
        <w:t>A类项目有1个不符合要求；</w:t>
      </w:r>
    </w:p>
    <w:p>
      <w:pPr>
        <w:pStyle w:val="185"/>
        <w:numPr>
          <w:ilvl w:val="0"/>
          <w:numId w:val="43"/>
        </w:numPr>
      </w:pPr>
      <w:r>
        <w:rPr>
          <w:rFonts w:hint="eastAsia"/>
        </w:rPr>
        <w:t>A类项目全部合格，B类项目有</w:t>
      </w:r>
      <w:r>
        <w:t>1个以上（含</w:t>
      </w:r>
      <w:r>
        <w:rPr>
          <w:rFonts w:hint="eastAsia"/>
        </w:rPr>
        <w:t>B类、</w:t>
      </w:r>
      <w:r>
        <w:t>C类）</w:t>
      </w:r>
      <w:r>
        <w:rPr>
          <w:rFonts w:hint="eastAsia"/>
        </w:rPr>
        <w:t>不符合要求；</w:t>
      </w:r>
    </w:p>
    <w:p>
      <w:pPr>
        <w:pStyle w:val="185"/>
        <w:numPr>
          <w:ilvl w:val="0"/>
          <w:numId w:val="43"/>
        </w:numPr>
      </w:pPr>
      <w:r>
        <w:rPr>
          <w:rFonts w:hint="eastAsia"/>
        </w:rPr>
        <w:t>A类、B类项目全部合格，C类项目有3个及以上不符合要求。</w:t>
      </w:r>
    </w:p>
    <w:p>
      <w:pPr>
        <w:pStyle w:val="115"/>
        <w:spacing w:before="312" w:after="312"/>
      </w:pPr>
      <w:bookmarkStart w:id="148" w:name="_Toc67429549"/>
      <w:bookmarkStart w:id="149" w:name="_Toc65063236"/>
      <w:bookmarkStart w:id="150" w:name="_Toc67429513"/>
      <w:bookmarkStart w:id="151" w:name="_Toc67430097"/>
      <w:bookmarkStart w:id="152" w:name="_Toc66815976"/>
      <w:bookmarkStart w:id="153" w:name="_Toc66866030"/>
      <w:bookmarkStart w:id="154" w:name="_Toc67317835"/>
      <w:bookmarkStart w:id="155" w:name="_Toc67426329"/>
      <w:bookmarkStart w:id="156" w:name="_Toc67317891"/>
      <w:bookmarkStart w:id="157" w:name="_Toc65063275"/>
      <w:bookmarkStart w:id="158" w:name="_Toc66814522"/>
      <w:bookmarkStart w:id="159" w:name="_Toc67318109"/>
      <w:r>
        <w:rPr>
          <w:rFonts w:hint="eastAsia"/>
        </w:rPr>
        <w:t>标志、包装、运输和贮存</w:t>
      </w:r>
      <w:bookmarkEnd w:id="148"/>
      <w:bookmarkEnd w:id="149"/>
      <w:bookmarkEnd w:id="150"/>
      <w:bookmarkEnd w:id="151"/>
      <w:bookmarkEnd w:id="152"/>
      <w:bookmarkEnd w:id="153"/>
      <w:bookmarkEnd w:id="154"/>
      <w:bookmarkEnd w:id="155"/>
      <w:bookmarkEnd w:id="156"/>
      <w:bookmarkEnd w:id="157"/>
      <w:bookmarkEnd w:id="158"/>
      <w:bookmarkEnd w:id="159"/>
    </w:p>
    <w:p>
      <w:pPr>
        <w:pStyle w:val="116"/>
        <w:spacing w:before="156" w:after="156"/>
        <w:ind w:left="0"/>
      </w:pPr>
      <w:bookmarkStart w:id="160" w:name="_Toc65063237"/>
      <w:r>
        <w:rPr>
          <w:rFonts w:hint="eastAsia"/>
        </w:rPr>
        <w:t>标志</w:t>
      </w:r>
      <w:bookmarkEnd w:id="160"/>
    </w:p>
    <w:p>
      <w:pPr>
        <w:pStyle w:val="176"/>
        <w:ind w:left="0"/>
      </w:pPr>
      <w:r>
        <w:rPr>
          <w:rFonts w:hint="eastAsia"/>
        </w:rPr>
        <w:t>吸油烟机产品有关部位上，应有相关强制性国家标准规定的标志内容，并按标准中规定的检查方法检查，标志应清晰，经久耐用。</w:t>
      </w:r>
    </w:p>
    <w:p>
      <w:pPr>
        <w:pStyle w:val="176"/>
        <w:ind w:left="0"/>
      </w:pPr>
      <w:r>
        <w:rPr>
          <w:rFonts w:hint="eastAsia"/>
        </w:rPr>
        <w:t xml:space="preserve">器具产品上的标志应标出以下各项： </w:t>
      </w:r>
    </w:p>
    <w:p>
      <w:pPr>
        <w:pStyle w:val="185"/>
        <w:numPr>
          <w:ilvl w:val="0"/>
          <w:numId w:val="44"/>
        </w:numPr>
      </w:pPr>
      <w:r>
        <w:rPr>
          <w:rFonts w:hint="eastAsia"/>
        </w:rPr>
        <w:t>产品名称和型号；</w:t>
      </w:r>
    </w:p>
    <w:p>
      <w:pPr>
        <w:pStyle w:val="185"/>
      </w:pPr>
      <w:r>
        <w:rPr>
          <w:rFonts w:hint="eastAsia"/>
        </w:rPr>
        <w:t>制造商名称及商标；</w:t>
      </w:r>
    </w:p>
    <w:p>
      <w:pPr>
        <w:pStyle w:val="185"/>
      </w:pPr>
      <w:r>
        <w:rPr>
          <w:rFonts w:hint="eastAsia"/>
        </w:rPr>
        <w:t>额定电压、额定频率；</w:t>
      </w:r>
    </w:p>
    <w:p>
      <w:pPr>
        <w:pStyle w:val="185"/>
      </w:pPr>
      <w:r>
        <w:rPr>
          <w:rFonts w:hint="eastAsia"/>
        </w:rPr>
        <w:t>主电机额定输入功率、整机额定输入功率和可更换的照明灯的最大输入功率；</w:t>
      </w:r>
    </w:p>
    <w:p>
      <w:pPr>
        <w:pStyle w:val="185"/>
      </w:pPr>
      <w:r>
        <w:rPr>
          <w:rFonts w:hint="eastAsia"/>
        </w:rPr>
        <w:t>生产日期或出厂编号。</w:t>
      </w:r>
    </w:p>
    <w:p>
      <w:pPr>
        <w:pStyle w:val="176"/>
        <w:ind w:left="0"/>
      </w:pPr>
      <w:r>
        <w:rPr>
          <w:rFonts w:hint="eastAsia"/>
        </w:rPr>
        <w:t>随产品所附的用户使用说明书至少应包括以下的资料和说明：</w:t>
      </w:r>
    </w:p>
    <w:p>
      <w:pPr>
        <w:pStyle w:val="185"/>
        <w:numPr>
          <w:ilvl w:val="0"/>
          <w:numId w:val="45"/>
        </w:numPr>
      </w:pPr>
      <w:r>
        <w:rPr>
          <w:rFonts w:hint="eastAsia"/>
        </w:rPr>
        <w:t>产品名称、型号；</w:t>
      </w:r>
    </w:p>
    <w:p>
      <w:pPr>
        <w:pStyle w:val="185"/>
        <w:numPr>
          <w:ilvl w:val="0"/>
          <w:numId w:val="45"/>
        </w:numPr>
      </w:pPr>
      <w:r>
        <w:rPr>
          <w:rFonts w:hint="eastAsia"/>
        </w:rPr>
        <w:t>空气性能特性曲线及阻力曲线</w:t>
      </w:r>
    </w:p>
    <w:p>
      <w:pPr>
        <w:pStyle w:val="185"/>
      </w:pPr>
      <w:r>
        <w:rPr>
          <w:rFonts w:hint="eastAsia"/>
        </w:rPr>
        <w:t>工作风量；</w:t>
      </w:r>
    </w:p>
    <w:p>
      <w:pPr>
        <w:pStyle w:val="185"/>
      </w:pPr>
      <w:r>
        <w:rPr>
          <w:rFonts w:hint="eastAsia"/>
        </w:rPr>
        <w:t>最大全压效率；</w:t>
      </w:r>
    </w:p>
    <w:p>
      <w:pPr>
        <w:pStyle w:val="185"/>
      </w:pPr>
      <w:r>
        <w:rPr>
          <w:rFonts w:hint="eastAsia"/>
        </w:rPr>
        <w:t>半消声室噪声、工作噪声；</w:t>
      </w:r>
    </w:p>
    <w:p>
      <w:pPr>
        <w:pStyle w:val="185"/>
      </w:pPr>
      <w:r>
        <w:rPr>
          <w:rFonts w:hint="eastAsia"/>
        </w:rPr>
        <w:t>主电机额定输入功率、整机额定输入功率；</w:t>
      </w:r>
    </w:p>
    <w:p>
      <w:pPr>
        <w:pStyle w:val="185"/>
      </w:pPr>
      <w:r>
        <w:rPr>
          <w:rFonts w:hint="eastAsia"/>
        </w:rPr>
        <w:t>可更换的照明灯的最大输入功率；</w:t>
      </w:r>
    </w:p>
    <w:p>
      <w:pPr>
        <w:pStyle w:val="185"/>
      </w:pPr>
      <w:r>
        <w:rPr>
          <w:rFonts w:hint="eastAsia"/>
        </w:rPr>
        <w:t>气味降低度；</w:t>
      </w:r>
    </w:p>
    <w:p>
      <w:pPr>
        <w:pStyle w:val="185"/>
      </w:pPr>
      <w:r>
        <w:rPr>
          <w:rFonts w:hint="eastAsia"/>
        </w:rPr>
        <w:t>油脂分离度；</w:t>
      </w:r>
    </w:p>
    <w:p>
      <w:pPr>
        <w:pStyle w:val="185"/>
      </w:pPr>
      <w:r>
        <w:rPr>
          <w:rFonts w:hint="eastAsia"/>
        </w:rPr>
        <w:t>外形和安装尺寸；</w:t>
      </w:r>
    </w:p>
    <w:p>
      <w:pPr>
        <w:pStyle w:val="185"/>
      </w:pPr>
      <w:r>
        <w:rPr>
          <w:rFonts w:hint="eastAsia"/>
        </w:rPr>
        <w:t>供电方式及安装方法；</w:t>
      </w:r>
    </w:p>
    <w:p>
      <w:pPr>
        <w:pStyle w:val="185"/>
      </w:pPr>
      <w:r>
        <w:rPr>
          <w:rFonts w:hint="eastAsia"/>
        </w:rPr>
        <w:t>使用、维护、保养方法和注意事项；</w:t>
      </w:r>
    </w:p>
    <w:p>
      <w:pPr>
        <w:pStyle w:val="185"/>
      </w:pPr>
      <w:r>
        <w:rPr>
          <w:rFonts w:hint="eastAsia"/>
        </w:rPr>
        <w:t>产品附件的名称、数量、规格；</w:t>
      </w:r>
    </w:p>
    <w:p>
      <w:pPr>
        <w:pStyle w:val="185"/>
      </w:pPr>
      <w:r>
        <w:rPr>
          <w:rFonts w:hint="eastAsia"/>
        </w:rPr>
        <w:t>售后服务事项；</w:t>
      </w:r>
    </w:p>
    <w:p>
      <w:pPr>
        <w:pStyle w:val="185"/>
      </w:pPr>
      <w:r>
        <w:rPr>
          <w:rFonts w:hint="eastAsia"/>
        </w:rPr>
        <w:t>制造商名称和地址。</w:t>
      </w:r>
    </w:p>
    <w:p>
      <w:pPr>
        <w:pStyle w:val="176"/>
        <w:ind w:left="0"/>
      </w:pPr>
      <w:r>
        <w:rPr>
          <w:rFonts w:hint="eastAsia"/>
        </w:rPr>
        <w:t>包装储运图示标志应符合GB/T 191的有关规定，且包装箱上的标志包括以下内容：</w:t>
      </w:r>
    </w:p>
    <w:p>
      <w:pPr>
        <w:pStyle w:val="185"/>
        <w:numPr>
          <w:ilvl w:val="0"/>
          <w:numId w:val="46"/>
        </w:numPr>
      </w:pPr>
      <w:r>
        <w:rPr>
          <w:rFonts w:hint="eastAsia"/>
        </w:rPr>
        <w:t>产品名称、型号；</w:t>
      </w:r>
    </w:p>
    <w:p>
      <w:pPr>
        <w:pStyle w:val="185"/>
      </w:pPr>
      <w:r>
        <w:rPr>
          <w:rFonts w:hint="eastAsia"/>
        </w:rPr>
        <w:t>制造商名称；</w:t>
      </w:r>
    </w:p>
    <w:p>
      <w:pPr>
        <w:pStyle w:val="185"/>
      </w:pPr>
      <w:r>
        <w:rPr>
          <w:rFonts w:hint="eastAsia"/>
        </w:rPr>
        <w:t>商标；</w:t>
      </w:r>
    </w:p>
    <w:p>
      <w:pPr>
        <w:pStyle w:val="185"/>
      </w:pPr>
      <w:r>
        <w:rPr>
          <w:rFonts w:hint="eastAsia"/>
        </w:rPr>
        <w:t>生产日期或出厂编号；</w:t>
      </w:r>
    </w:p>
    <w:p>
      <w:pPr>
        <w:pStyle w:val="185"/>
      </w:pPr>
      <w:r>
        <w:rPr>
          <w:rFonts w:hint="eastAsia"/>
        </w:rPr>
        <w:t>质量（毛质量），单位为千克（kg）；</w:t>
      </w:r>
    </w:p>
    <w:p>
      <w:pPr>
        <w:pStyle w:val="185"/>
      </w:pPr>
      <w:r>
        <w:rPr>
          <w:rFonts w:hint="eastAsia"/>
        </w:rPr>
        <w:t>包装箱外形尺寸：长×宽×高，单位为毫米（mm）；</w:t>
      </w:r>
    </w:p>
    <w:p>
      <w:pPr>
        <w:pStyle w:val="185"/>
      </w:pPr>
      <w:r>
        <w:rPr>
          <w:rFonts w:hint="eastAsia"/>
        </w:rPr>
        <w:t>包装储运图示标志；</w:t>
      </w:r>
    </w:p>
    <w:p>
      <w:pPr>
        <w:pStyle w:val="185"/>
      </w:pPr>
      <w:r>
        <w:t>产品执行的标准</w:t>
      </w:r>
      <w:r>
        <w:rPr>
          <w:rFonts w:hint="eastAsia"/>
        </w:rPr>
        <w:t>。</w:t>
      </w:r>
    </w:p>
    <w:p>
      <w:pPr>
        <w:pStyle w:val="116"/>
        <w:spacing w:before="156" w:after="156"/>
        <w:ind w:left="0"/>
      </w:pPr>
      <w:bookmarkStart w:id="161" w:name="_Toc65063238"/>
      <w:r>
        <w:rPr>
          <w:rFonts w:hint="eastAsia"/>
        </w:rPr>
        <w:t>包装</w:t>
      </w:r>
      <w:bookmarkEnd w:id="161"/>
    </w:p>
    <w:p>
      <w:pPr>
        <w:pStyle w:val="67"/>
        <w:ind w:firstLine="420"/>
      </w:pPr>
      <w:r>
        <w:rPr>
          <w:rFonts w:hint="eastAsia"/>
        </w:rPr>
        <w:t>包装箱内应有随机文件（至少包括用户使用说明书、产品质量合格证、保修单）和附件。</w:t>
      </w:r>
    </w:p>
    <w:p>
      <w:pPr>
        <w:pStyle w:val="116"/>
        <w:spacing w:before="156" w:after="156"/>
        <w:ind w:left="0"/>
      </w:pPr>
      <w:bookmarkStart w:id="162" w:name="_Toc65063239"/>
      <w:r>
        <w:rPr>
          <w:rFonts w:hint="eastAsia"/>
        </w:rPr>
        <w:t>运输</w:t>
      </w:r>
      <w:bookmarkEnd w:id="162"/>
    </w:p>
    <w:p>
      <w:pPr>
        <w:pStyle w:val="176"/>
        <w:ind w:left="0"/>
      </w:pPr>
      <w:r>
        <w:rPr>
          <w:rFonts w:hint="eastAsia"/>
        </w:rPr>
        <w:t>器具在运输和贮存过程中，应防止剧烈震动、挤压、雨雪淋袭及化学品侵蚀。</w:t>
      </w:r>
    </w:p>
    <w:p>
      <w:pPr>
        <w:pStyle w:val="176"/>
        <w:ind w:left="0"/>
      </w:pPr>
      <w:r>
        <w:rPr>
          <w:rFonts w:hint="eastAsia"/>
        </w:rPr>
        <w:t>搬运必须轻拿轻放、堆码整齐，严禁翻滚和抛掷。</w:t>
      </w:r>
    </w:p>
    <w:p>
      <w:pPr>
        <w:pStyle w:val="116"/>
        <w:spacing w:before="156" w:after="156"/>
        <w:ind w:left="0"/>
      </w:pPr>
      <w:bookmarkStart w:id="163" w:name="_Toc65063240"/>
      <w:r>
        <w:rPr>
          <w:rFonts w:hint="eastAsia"/>
        </w:rPr>
        <w:t>贮存</w:t>
      </w:r>
      <w:bookmarkEnd w:id="163"/>
    </w:p>
    <w:p>
      <w:pPr>
        <w:pStyle w:val="176"/>
        <w:ind w:left="0"/>
      </w:pPr>
      <w:r>
        <w:rPr>
          <w:rFonts w:hint="eastAsia"/>
        </w:rPr>
        <w:t>产品应贮存在干燥、通风、周围无腐蚀性及无有害气体的仓库中。</w:t>
      </w:r>
    </w:p>
    <w:p>
      <w:pPr>
        <w:pStyle w:val="176"/>
        <w:ind w:left="0"/>
        <w:sectPr>
          <w:headerReference r:id="rId19" w:type="default"/>
          <w:footerReference r:id="rId21" w:type="default"/>
          <w:headerReference r:id="rId20" w:type="even"/>
          <w:footerReference r:id="rId22" w:type="even"/>
          <w:pgSz w:w="11906" w:h="16838"/>
          <w:pgMar w:top="1871" w:right="1134" w:bottom="1134" w:left="1134" w:header="1418" w:footer="1134" w:gutter="284"/>
          <w:pgNumType w:start="1"/>
          <w:cols w:space="425" w:num="1"/>
          <w:formProt w:val="0"/>
          <w:docGrid w:type="lines" w:linePitch="312" w:charSpace="0"/>
        </w:sectPr>
      </w:pPr>
      <w:r>
        <w:rPr>
          <w:rFonts w:hint="eastAsia"/>
        </w:rPr>
        <w:t>器具应按型号分类存放，堆码高度应考虑包装箱承受强度，并便于取放，不得超过堆码极限，防止挤压和倒垛损坏。</w:t>
      </w:r>
    </w:p>
    <w:bookmarkEnd w:id="21"/>
    <w:p>
      <w:pPr>
        <w:pStyle w:val="209"/>
        <w:rPr>
          <w:vanish w:val="0"/>
        </w:rPr>
      </w:pPr>
      <w:bookmarkStart w:id="164" w:name="BookMark5"/>
    </w:p>
    <w:p>
      <w:pPr>
        <w:pStyle w:val="210"/>
        <w:rPr>
          <w:vanish w:val="0"/>
        </w:rPr>
      </w:pPr>
    </w:p>
    <w:p>
      <w:pPr>
        <w:pStyle w:val="87"/>
        <w:spacing w:before="78" w:after="156"/>
      </w:pPr>
      <w:r>
        <w:br w:type="textWrapping"/>
      </w:r>
      <w:bookmarkStart w:id="165" w:name="_Toc67429550"/>
      <w:bookmarkStart w:id="166" w:name="_Toc67430098"/>
      <w:bookmarkStart w:id="167" w:name="_Toc67318110"/>
      <w:bookmarkStart w:id="168" w:name="_Toc67426330"/>
      <w:bookmarkStart w:id="169" w:name="_Toc66815977"/>
      <w:bookmarkStart w:id="170" w:name="_Toc67429514"/>
      <w:bookmarkStart w:id="171" w:name="_Toc65063241"/>
      <w:bookmarkStart w:id="172" w:name="_Toc67317892"/>
      <w:bookmarkStart w:id="173" w:name="_Toc66814523"/>
      <w:bookmarkStart w:id="174" w:name="_Toc66866031"/>
      <w:bookmarkStart w:id="175" w:name="_Toc65063276"/>
      <w:bookmarkStart w:id="176" w:name="_Toc67317836"/>
      <w:r>
        <w:rPr>
          <w:rFonts w:hint="eastAsia"/>
        </w:rPr>
        <w:t>（规范性）</w:t>
      </w:r>
      <w:r>
        <w:br w:type="textWrapping"/>
      </w:r>
      <w:r>
        <w:rPr>
          <w:rFonts w:hint="eastAsia"/>
        </w:rPr>
        <w:t>空气性能试验方法</w:t>
      </w:r>
      <w:bookmarkEnd w:id="165"/>
      <w:bookmarkEnd w:id="166"/>
      <w:bookmarkEnd w:id="167"/>
      <w:bookmarkEnd w:id="168"/>
      <w:bookmarkEnd w:id="169"/>
      <w:bookmarkEnd w:id="170"/>
      <w:bookmarkEnd w:id="171"/>
      <w:bookmarkEnd w:id="172"/>
      <w:bookmarkEnd w:id="173"/>
      <w:bookmarkEnd w:id="174"/>
      <w:bookmarkEnd w:id="175"/>
      <w:bookmarkEnd w:id="176"/>
    </w:p>
    <w:p>
      <w:pPr>
        <w:pStyle w:val="67"/>
        <w:ind w:firstLine="420"/>
      </w:pPr>
    </w:p>
    <w:p>
      <w:pPr>
        <w:pStyle w:val="89"/>
        <w:spacing w:before="156" w:after="156"/>
      </w:pPr>
      <w:bookmarkStart w:id="177" w:name="_Toc65063242"/>
      <w:r>
        <w:t>概述</w:t>
      </w:r>
      <w:bookmarkEnd w:id="177"/>
    </w:p>
    <w:p>
      <w:pPr>
        <w:pStyle w:val="67"/>
        <w:autoSpaceDE/>
        <w:autoSpaceDN/>
        <w:ind w:firstLine="420"/>
      </w:pPr>
      <w:r>
        <w:rPr>
          <w:rFonts w:hint="eastAsia"/>
        </w:rPr>
        <w:t>器具的空气性能试验按本附录进行。试验装置依据GB/T 1236—2017第30章，采用风室内多喷嘴测定流量的B型试验装置。当器具压力小于1</w:t>
      </w:r>
      <w:r>
        <w:t> </w:t>
      </w:r>
      <w:r>
        <w:rPr>
          <w:rFonts w:hint="eastAsia"/>
        </w:rPr>
        <w:t>000</w:t>
      </w:r>
      <w:r>
        <w:t> </w:t>
      </w:r>
      <w:r>
        <w:rPr>
          <w:rFonts w:hint="eastAsia"/>
        </w:rPr>
        <w:t>Pa，基准马赫数不超过0.15时，忽略空气可压缩性和湿度对试验结果的影响。</w:t>
      </w:r>
    </w:p>
    <w:p>
      <w:pPr>
        <w:pStyle w:val="89"/>
        <w:spacing w:before="156" w:after="156"/>
      </w:pPr>
      <w:r>
        <w:t>试验规则</w:t>
      </w:r>
    </w:p>
    <w:p>
      <w:pPr>
        <w:pStyle w:val="223"/>
        <w:autoSpaceDE/>
        <w:autoSpaceDN/>
      </w:pPr>
      <w:r>
        <w:rPr>
          <w:rFonts w:hint="eastAsia"/>
        </w:rPr>
        <w:t>本试验应在环境温度为20</w:t>
      </w:r>
      <w:r>
        <w:t> </w:t>
      </w:r>
      <w:r>
        <w:rPr>
          <w:rFonts w:hint="eastAsia"/>
        </w:rPr>
        <w:t>℃±5</w:t>
      </w:r>
      <w:r>
        <w:t> </w:t>
      </w:r>
      <w:r>
        <w:rPr>
          <w:rFonts w:hint="eastAsia"/>
        </w:rPr>
        <w:t>℃，相对湿度不大于85</w:t>
      </w:r>
      <w:r>
        <w:t> </w:t>
      </w:r>
      <w:r>
        <w:rPr>
          <w:rFonts w:hint="eastAsia"/>
        </w:rPr>
        <w:t>%，无外界气流和热辐射的实验室内进行。</w:t>
      </w:r>
    </w:p>
    <w:p>
      <w:pPr>
        <w:pStyle w:val="223"/>
        <w:autoSpaceDE/>
        <w:autoSpaceDN/>
      </w:pPr>
      <w:r>
        <w:t>被测器具的进风口应处于自由空间，并与试验装置按图</w:t>
      </w:r>
      <w:r>
        <w:rPr>
          <w:rFonts w:hint="eastAsia"/>
        </w:rPr>
        <w:t>A.1所示</w:t>
      </w:r>
      <w:r>
        <w:t>的方式连接</w:t>
      </w:r>
      <w:r>
        <w:rPr>
          <w:rFonts w:hint="eastAsia"/>
        </w:rPr>
        <w:t>。外排式器具与试验装置进口公用段管道连接可使用制造商随机附带的过渡罩（除去止逆阀等遮盖件），但不必安装随机附带的排风管。如果器具设计上有附加的过滤装置的话，应安装干净的过滤装置。</w:t>
      </w:r>
    </w:p>
    <w:p>
      <w:pPr>
        <w:pStyle w:val="223"/>
        <w:autoSpaceDE/>
        <w:autoSpaceDN/>
      </w:pPr>
      <w:r>
        <w:rPr>
          <w:rFonts w:hint="eastAsia"/>
        </w:rPr>
        <w:t>在进行空气性能试验之前应对试验装置、试验仪器、大气条件和试验运转条件检查正常后方可进行工况测试，器具在试验装置上以额定电压、额定频率运行至转速稳定（1</w:t>
      </w:r>
      <w:r>
        <w:t> </w:t>
      </w:r>
      <w:r>
        <w:rPr>
          <w:rFonts w:hint="eastAsia"/>
        </w:rPr>
        <w:t>h以上）后测量读数。</w:t>
      </w:r>
    </w:p>
    <w:p>
      <w:pPr>
        <w:pStyle w:val="223"/>
        <w:autoSpaceDE/>
        <w:autoSpaceDN/>
      </w:pPr>
      <w:r>
        <w:rPr>
          <w:rFonts w:hint="eastAsia"/>
        </w:rPr>
        <w:t>环境温度计安放在被测器具的进气口前，在速度为零的区域中测量环境温度；温度场平均温度与最大温度差超过1</w:t>
      </w:r>
      <w:r>
        <w:t> </w:t>
      </w:r>
      <w:r>
        <w:rPr>
          <w:rFonts w:hint="eastAsia"/>
        </w:rPr>
        <w:t>℃时，应测量温度场，取其平均值。</w:t>
      </w:r>
    </w:p>
    <w:p>
      <w:pPr>
        <w:pStyle w:val="223"/>
        <w:autoSpaceDE/>
        <w:autoSpaceDN/>
      </w:pPr>
      <w:r>
        <w:rPr>
          <w:rFonts w:hint="eastAsia"/>
        </w:rPr>
        <w:t>气压表应放在A.</w:t>
      </w:r>
      <w:r>
        <w:t>2</w:t>
      </w:r>
      <w:r>
        <w:rPr>
          <w:rFonts w:hint="eastAsia"/>
        </w:rPr>
        <w:t>.</w:t>
      </w:r>
      <w:r>
        <w:t>4</w:t>
      </w:r>
      <w:r>
        <w:rPr>
          <w:rFonts w:hint="eastAsia"/>
        </w:rPr>
        <w:t>规定的位置，不得受任何高温物体传热影响，并防止日光直射和大气对流的影响。在试验过程中，每次测量的时间间隔为30</w:t>
      </w:r>
      <w:r>
        <w:t> </w:t>
      </w:r>
      <w:r>
        <w:rPr>
          <w:rFonts w:hint="eastAsia"/>
        </w:rPr>
        <w:t>min。</w:t>
      </w:r>
    </w:p>
    <w:p>
      <w:pPr>
        <w:pStyle w:val="223"/>
        <w:autoSpaceDE/>
        <w:autoSpaceDN/>
      </w:pPr>
      <w:r>
        <w:rPr>
          <w:rFonts w:hint="eastAsia"/>
        </w:rPr>
        <w:t>将干湿球温度计放置在A.</w:t>
      </w:r>
      <w:r>
        <w:t>2</w:t>
      </w:r>
      <w:r>
        <w:rPr>
          <w:rFonts w:hint="eastAsia"/>
        </w:rPr>
        <w:t>.</w:t>
      </w:r>
      <w:r>
        <w:t>4</w:t>
      </w:r>
      <w:r>
        <w:rPr>
          <w:rFonts w:hint="eastAsia"/>
        </w:rPr>
        <w:t>规定的位置，以确定相对湿度。</w:t>
      </w:r>
    </w:p>
    <w:p>
      <w:pPr>
        <w:pStyle w:val="223"/>
        <w:autoSpaceDE/>
        <w:autoSpaceDN/>
      </w:pPr>
      <w:r>
        <w:rPr>
          <w:rFonts w:hint="eastAsia"/>
        </w:rPr>
        <w:t>为了保证试验精度， 测试点数应不小于</w:t>
      </w:r>
      <w:r>
        <w:t>25</w:t>
      </w:r>
      <w:r>
        <w:rPr>
          <w:rFonts w:hint="eastAsia"/>
        </w:rPr>
        <w:t>个。</w:t>
      </w:r>
    </w:p>
    <w:p>
      <w:pPr>
        <w:pStyle w:val="223"/>
        <w:autoSpaceDE/>
        <w:autoSpaceDN/>
      </w:pPr>
      <w:r>
        <w:rPr>
          <w:rFonts w:hint="eastAsia"/>
        </w:rPr>
        <w:t>工况测量点的变量参数如下：</w:t>
      </w:r>
    </w:p>
    <w:p>
      <w:pPr>
        <w:pStyle w:val="185"/>
        <w:numPr>
          <w:ilvl w:val="0"/>
          <w:numId w:val="47"/>
        </w:numPr>
      </w:pPr>
      <w:r>
        <w:rPr>
          <w:rFonts w:hint="eastAsia"/>
        </w:rPr>
        <w:t>各工况点的风室内计示静压（p</w:t>
      </w:r>
      <w:r>
        <w:rPr>
          <w:vertAlign w:val="subscript"/>
        </w:rPr>
        <w:t>S4</w:t>
      </w:r>
      <w:r>
        <w:rPr>
          <w:rFonts w:hint="eastAsia"/>
        </w:rPr>
        <w:t>）；</w:t>
      </w:r>
    </w:p>
    <w:p>
      <w:pPr>
        <w:pStyle w:val="185"/>
        <w:spacing w:line="320" w:lineRule="exact"/>
        <w:ind w:left="850" w:hanging="425"/>
      </w:pPr>
      <w:r>
        <w:rPr>
          <w:rFonts w:hint="eastAsia"/>
        </w:rPr>
        <w:t>各工况点的风室内计示差压（</w:t>
      </w:r>
      <w:r>
        <w:rPr>
          <w:position w:val="-10"/>
        </w:rPr>
        <w:object>
          <v:shape id="_x0000_i1025" o:spt="75" type="#_x0000_t75" style="height:15.75pt;width:18pt;" o:ole="t" filled="f" o:preferrelative="t" stroked="f" coordsize="21600,21600">
            <v:path/>
            <v:fill on="f" focussize="0,0"/>
            <v:stroke on="f" joinstyle="miter"/>
            <v:imagedata r:id="rId48" o:title=""/>
            <o:lock v:ext="edit" aspectratio="t"/>
            <w10:wrap type="none"/>
            <w10:anchorlock/>
          </v:shape>
          <o:OLEObject Type="Embed" ProgID="Equation.DSMT4" ShapeID="_x0000_i1025" DrawAspect="Content" ObjectID="_1468075725" r:id="rId47">
            <o:LockedField>false</o:LockedField>
          </o:OLEObject>
        </w:object>
      </w:r>
      <w:r>
        <w:rPr>
          <w:rFonts w:hint="eastAsia"/>
        </w:rPr>
        <w:t>）；</w:t>
      </w:r>
    </w:p>
    <w:p>
      <w:pPr>
        <w:pStyle w:val="185"/>
      </w:pPr>
      <w:r>
        <w:rPr>
          <w:rFonts w:hint="eastAsia"/>
        </w:rPr>
        <w:t>各工况点的主电机输入功率（P）。</w:t>
      </w:r>
    </w:p>
    <w:p>
      <w:pPr>
        <w:pStyle w:val="89"/>
        <w:spacing w:before="156" w:after="156"/>
      </w:pPr>
      <w:bookmarkStart w:id="178" w:name="_Toc65063243"/>
      <w:r>
        <w:rPr>
          <w:rFonts w:hint="eastAsia"/>
        </w:rPr>
        <w:t>空气性能的计算</w:t>
      </w:r>
      <w:bookmarkEnd w:id="178"/>
    </w:p>
    <w:p>
      <w:pPr>
        <w:pStyle w:val="90"/>
        <w:spacing w:before="156" w:after="156" w:line="320" w:lineRule="exact"/>
      </w:pPr>
      <w:r>
        <w:rPr>
          <w:rFonts w:hint="eastAsia"/>
        </w:rPr>
        <w:t>计算试验环境的空气密度（</w:t>
      </w:r>
      <w:r>
        <w:rPr>
          <w:position w:val="-12"/>
        </w:rPr>
        <w:object>
          <v:shape id="_x0000_i1026" o:spt="75" type="#_x0000_t75" style="height:18pt;width:15pt;" o:ole="t" filled="f" o:preferrelative="t" stroked="f" coordsize="21600,21600">
            <v:path/>
            <v:fill on="f" focussize="0,0"/>
            <v:stroke on="f" joinstyle="miter"/>
            <v:imagedata r:id="rId50" o:title=""/>
            <o:lock v:ext="edit" aspectratio="t"/>
            <w10:wrap type="none"/>
            <w10:anchorlock/>
          </v:shape>
          <o:OLEObject Type="Embed" ProgID="Equation.DSMT4" ShapeID="_x0000_i1026" DrawAspect="Content" ObjectID="_1468075726" r:id="rId49">
            <o:LockedField>false</o:LockedField>
          </o:OLEObject>
        </w:object>
      </w:r>
      <w:r>
        <w:rPr>
          <w:rFonts w:hint="eastAsia"/>
        </w:rPr>
        <w:t>）</w:t>
      </w:r>
    </w:p>
    <w:p>
      <w:pPr>
        <w:pStyle w:val="67"/>
        <w:ind w:firstLine="420"/>
      </w:pPr>
      <w:r>
        <w:rPr>
          <w:rFonts w:hint="eastAsia"/>
        </w:rPr>
        <w:t>试验环境的空气密度按式（A.1）计算：</w:t>
      </w:r>
    </w:p>
    <w:p>
      <w:pPr>
        <w:pStyle w:val="124"/>
        <w:spacing w:before="156" w:after="156"/>
      </w:pPr>
      <w:r>
        <w:tab/>
      </w:r>
      <m:oMath>
        <m:sSub>
          <m:sSubPr>
            <m:ctrlPr>
              <w:rPr>
                <w:rFonts w:ascii="Cambria Math" w:hAnsi="Cambria Math"/>
              </w:rPr>
            </m:ctrlPr>
          </m:sSubPr>
          <m:e>
            <m:r>
              <w:rPr>
                <w:rFonts w:ascii="Cambria Math" w:hAnsi="Cambria Math"/>
              </w:rPr>
              <m:t>ρ</m:t>
            </m:r>
            <m:ctrlPr>
              <w:rPr>
                <w:rFonts w:ascii="Cambria Math" w:hAnsi="Cambria Math"/>
              </w:rPr>
            </m:ctrlPr>
          </m:e>
          <m:sub>
            <m:r>
              <w:rPr>
                <w:rFonts w:ascii="Cambria Math" w:hAnsi="Cambria Math"/>
              </w:rPr>
              <m:t>a</m:t>
            </m:r>
            <m:ctrlPr>
              <w:rPr>
                <w:rFonts w:ascii="Cambria Math" w:hAnsi="Cambria Math"/>
              </w:rPr>
            </m:ctrlP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a</m:t>
                </m:r>
                <m:ctrlPr>
                  <w:rPr>
                    <w:rFonts w:ascii="Cambria Math" w:hAnsi="Cambria Math"/>
                    <w:i/>
                  </w:rPr>
                </m:ctrlPr>
              </m:sub>
            </m:sSub>
            <m:r>
              <w:rPr>
                <w:rFonts w:ascii="Cambria Math" w:hAnsi="Cambria Math"/>
              </w:rPr>
              <m:t>-0.378</m:t>
            </m:r>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v</m:t>
                </m:r>
                <m:ctrlPr>
                  <w:rPr>
                    <w:rFonts w:ascii="Cambria Math" w:hAnsi="Cambria Math"/>
                    <w:i/>
                  </w:rPr>
                </m:ctrlPr>
              </m:sub>
            </m:sSub>
            <m:ctrlPr>
              <w:rPr>
                <w:rFonts w:ascii="Cambria Math" w:hAnsi="Cambria Math"/>
                <w:i/>
              </w:rPr>
            </m:ctrlPr>
          </m:num>
          <m:den>
            <m:r>
              <w:rPr>
                <w:rFonts w:ascii="Cambria Math" w:hAnsi="Cambria Math"/>
              </w:rPr>
              <m:t>287</m:t>
            </m:r>
            <m:sSub>
              <m:sSubPr>
                <m:ctrlPr>
                  <w:rPr>
                    <w:rFonts w:ascii="Cambria Math" w:hAnsi="Cambria Math"/>
                    <w:i/>
                  </w:rPr>
                </m:ctrlPr>
              </m:sSubPr>
              <m:e>
                <m:r>
                  <m:rPr>
                    <m:sty m:val="p"/>
                  </m:rPr>
                  <w:rPr>
                    <w:rFonts w:ascii="Cambria Math" w:hAnsi="Cambria Math"/>
                  </w:rPr>
                  <m:t>Θ</m:t>
                </m:r>
                <m:ctrlPr>
                  <w:rPr>
                    <w:rFonts w:ascii="Cambria Math" w:hAnsi="Cambria Math"/>
                    <w:i/>
                  </w:rPr>
                </m:ctrlPr>
              </m:e>
              <m:sub>
                <m:r>
                  <w:rPr>
                    <w:rFonts w:ascii="Cambria Math" w:hAnsi="Cambria Math"/>
                  </w:rPr>
                  <m:t>a</m:t>
                </m:r>
                <m:ctrlPr>
                  <w:rPr>
                    <w:rFonts w:ascii="Cambria Math" w:hAnsi="Cambria Math"/>
                    <w:i/>
                  </w:rPr>
                </m:ctrlPr>
              </m:sub>
            </m:sSub>
            <m:ctrlPr>
              <w:rPr>
                <w:rFonts w:ascii="Cambria Math" w:hAnsi="Cambria Math"/>
                <w:i/>
              </w:rPr>
            </m:ctrlPr>
          </m:den>
        </m:f>
      </m:oMath>
      <w:r>
        <w:rPr>
          <w:rFonts w:ascii="微软雅黑" w:hAnsi="微软雅黑" w:eastAsia="微软雅黑"/>
        </w:rPr>
        <w:tab/>
      </w:r>
      <w:r>
        <w:t>(A.</w:t>
      </w:r>
      <w:r>
        <w:fldChar w:fldCharType="begin"/>
      </w:r>
      <w:r>
        <w:instrText xml:space="preserve">  seq fulu_equation_132549999402513656  </w:instrText>
      </w:r>
      <w:r>
        <w:fldChar w:fldCharType="separate"/>
      </w:r>
      <w:r>
        <w:t>1</w:t>
      </w:r>
      <w:r>
        <w:fldChar w:fldCharType="end"/>
      </w:r>
      <w:r>
        <w:t>)</w:t>
      </w:r>
    </w:p>
    <w:p>
      <w:pPr>
        <w:pStyle w:val="66"/>
        <w:spacing w:line="320" w:lineRule="exact"/>
        <w:ind w:firstLine="420"/>
      </w:pPr>
      <w:r>
        <w:rPr>
          <w:rFonts w:hint="eastAsia"/>
        </w:rPr>
        <w:t>式中：</w:t>
      </w:r>
    </w:p>
    <w:p>
      <w:pPr>
        <w:pStyle w:val="67"/>
        <w:autoSpaceDE/>
        <w:autoSpaceDN/>
        <w:spacing w:line="320" w:lineRule="exact"/>
        <w:ind w:firstLine="420"/>
      </w:pPr>
      <w:r>
        <w:rPr>
          <w:position w:val="-12"/>
        </w:rPr>
        <w:object>
          <v:shape id="_x0000_i1027" o:spt="75" type="#_x0000_t75" style="height:18pt;width:15.75pt;" o:ole="t" filled="f" o:preferrelative="t" stroked="f" coordsize="21600,21600">
            <v:path/>
            <v:fill on="f" focussize="0,0"/>
            <v:stroke on="f" joinstyle="miter"/>
            <v:imagedata r:id="rId52" o:title=""/>
            <o:lock v:ext="edit" aspectratio="t"/>
            <w10:wrap type="none"/>
            <w10:anchorlock/>
          </v:shape>
          <o:OLEObject Type="Embed" ProgID="Equation.DSMT4" ShapeID="_x0000_i1027" DrawAspect="Content" ObjectID="_1468075727" r:id="rId51">
            <o:LockedField>false</o:LockedField>
          </o:OLEObject>
        </w:object>
      </w:r>
      <w:r>
        <w:t>——试验环境的空气密度，单位为千克每立方米（</w:t>
      </w:r>
      <w:r>
        <w:rPr>
          <w:rFonts w:hint="eastAsia"/>
        </w:rPr>
        <w:t>kg/m</w:t>
      </w:r>
      <w:r>
        <w:rPr>
          <w:rFonts w:hint="eastAsia"/>
          <w:vertAlign w:val="superscript"/>
        </w:rPr>
        <w:t>3</w:t>
      </w:r>
      <w:r>
        <w:t>）；</w:t>
      </w:r>
    </w:p>
    <w:p>
      <w:pPr>
        <w:pStyle w:val="124"/>
        <w:spacing w:line="320" w:lineRule="exact"/>
        <w:ind w:firstLine="420" w:firstLineChars="200"/>
      </w:pPr>
      <m:oMath>
        <m:sSub>
          <m:sSubPr>
            <m:ctrlPr>
              <w:rPr>
                <w:rFonts w:ascii="Cambria Math" w:hAnsi="Cambria Math"/>
              </w:rPr>
            </m:ctrlPr>
          </m:sSubPr>
          <m:e>
            <m:r>
              <m:rPr>
                <m:sty m:val="p"/>
              </m:rPr>
              <w:rPr>
                <w:rFonts w:ascii="Cambria Math" w:hAnsi="Cambria Math"/>
              </w:rPr>
              <m:t>Θ</m:t>
            </m:r>
            <m:ctrlPr>
              <w:rPr>
                <w:rFonts w:ascii="Cambria Math" w:hAnsi="Cambria Math"/>
              </w:rPr>
            </m:ctrlPr>
          </m:e>
          <m:sub>
            <m:r>
              <w:rPr>
                <w:rFonts w:ascii="Cambria Math" w:hAnsi="Cambria Math"/>
              </w:rPr>
              <m:t>a</m:t>
            </m:r>
            <m:ctrlPr>
              <w:rPr>
                <w:rFonts w:ascii="Cambria Math" w:hAnsi="Cambria Math"/>
              </w:rPr>
            </m:ctrlPr>
          </m:sub>
        </m:sSub>
      </m:oMath>
      <w:r>
        <w:rPr>
          <w:rFonts w:ascii="Times New Roman" w:hAnsi="Times New Roman"/>
        </w:rPr>
        <w:t>——</w:t>
      </w:r>
      <w:r>
        <w:rPr>
          <w:rFonts w:hint="eastAsia"/>
        </w:rPr>
        <w:t>环境绝对温度，开尔文度。</w:t>
      </w:r>
      <m:oMath>
        <m:sSub>
          <m:sSubPr>
            <m:ctrlPr>
              <w:rPr>
                <w:rFonts w:ascii="Cambria Math" w:hAnsi="Cambria Math"/>
              </w:rPr>
            </m:ctrlPr>
          </m:sSubPr>
          <m:e>
            <m:r>
              <m:rPr>
                <m:sty m:val="p"/>
              </m:rPr>
              <w:rPr>
                <w:rFonts w:ascii="Cambria Math" w:hAnsi="Cambria Math"/>
              </w:rPr>
              <m:t>Θ</m:t>
            </m:r>
            <m:ctrlPr>
              <w:rPr>
                <w:rFonts w:ascii="Cambria Math" w:hAnsi="Cambria Math"/>
              </w:rPr>
            </m:ctrlPr>
          </m:e>
          <m:sub>
            <m:r>
              <w:rPr>
                <w:rFonts w:ascii="Cambria Math" w:hAnsi="Cambria Math"/>
              </w:rPr>
              <m:t>a</m:t>
            </m:r>
            <m:ctrlPr>
              <w:rPr>
                <w:rFonts w:ascii="Cambria Math" w:hAnsi="Cambria Math"/>
              </w:rPr>
            </m:ctrlPr>
          </m:sub>
        </m:sSub>
        <m:r>
          <w:rPr>
            <w:rFonts w:ascii="Cambria Math" w:hAnsi="Cambria Math"/>
          </w:rPr>
          <m:t>=</m:t>
        </m:r>
        <m:sSub>
          <m:sSubPr>
            <m:ctrlPr>
              <w:rPr>
                <w:rFonts w:ascii="Cambria Math" w:hAnsi="Cambria Math"/>
                <w:i/>
              </w:rPr>
            </m:ctrlPr>
          </m:sSubPr>
          <m:e>
            <m:r>
              <w:rPr>
                <w:rFonts w:ascii="Cambria Math" w:hAnsi="Cambria Math"/>
              </w:rPr>
              <m:t>t</m:t>
            </m:r>
            <m:ctrlPr>
              <w:rPr>
                <w:rFonts w:ascii="Cambria Math" w:hAnsi="Cambria Math"/>
                <w:i/>
              </w:rPr>
            </m:ctrlPr>
          </m:e>
          <m:sub>
            <m:r>
              <w:rPr>
                <w:rFonts w:ascii="Cambria Math" w:hAnsi="Cambria Math"/>
              </w:rPr>
              <m:t>a</m:t>
            </m:r>
            <m:ctrlPr>
              <w:rPr>
                <w:rFonts w:ascii="Cambria Math" w:hAnsi="Cambria Math"/>
                <w:i/>
              </w:rPr>
            </m:ctrlPr>
          </m:sub>
        </m:sSub>
        <m:r>
          <w:rPr>
            <w:rFonts w:ascii="Cambria Math" w:hAnsi="Cambria Math"/>
          </w:rPr>
          <m:t>+273.15</m:t>
        </m:r>
      </m:oMath>
      <w:r>
        <w:t>；</w:t>
      </w:r>
    </w:p>
    <w:p>
      <w:pPr>
        <w:adjustRightInd/>
        <w:spacing w:line="320" w:lineRule="exact"/>
        <w:ind w:left="424" w:leftChars="200" w:hanging="4" w:hangingChars="2"/>
        <w:jc w:val="left"/>
        <w:rPr>
          <w:rFonts w:ascii="宋体" w:hAnsi="宋体"/>
          <w:szCs w:val="24"/>
        </w:rPr>
      </w:pPr>
      <m:oMath>
        <m:sSub>
          <m:sSubPr>
            <m:ctrlPr>
              <w:rPr>
                <w:rFonts w:ascii="Cambria Math" w:hAnsi="Cambria Math"/>
                <w:szCs w:val="24"/>
              </w:rPr>
            </m:ctrlPr>
          </m:sSubPr>
          <m:e>
            <m:r>
              <w:rPr>
                <w:rFonts w:ascii="Cambria Math" w:hAnsi="Cambria Math"/>
                <w:szCs w:val="24"/>
              </w:rPr>
              <m:t>t</m:t>
            </m:r>
            <m:ctrlPr>
              <w:rPr>
                <w:rFonts w:ascii="Cambria Math" w:hAnsi="Cambria Math"/>
                <w:szCs w:val="24"/>
              </w:rPr>
            </m:ctrlPr>
          </m:e>
          <m:sub>
            <m:r>
              <w:rPr>
                <w:rFonts w:ascii="Cambria Math" w:hAnsi="Cambria Math"/>
                <w:szCs w:val="24"/>
              </w:rPr>
              <m:t>a</m:t>
            </m:r>
            <m:ctrlPr>
              <w:rPr>
                <w:rFonts w:ascii="Cambria Math" w:hAnsi="Cambria Math"/>
                <w:szCs w:val="24"/>
              </w:rPr>
            </m:ctrlPr>
          </m:sub>
        </m:sSub>
        <m:r>
          <w:rPr>
            <w:rFonts w:ascii="Cambria Math" w:hAnsi="Cambria Math"/>
            <w:szCs w:val="24"/>
          </w:rPr>
          <m:t>=</m:t>
        </m:r>
        <m:sSub>
          <m:sSubPr>
            <m:ctrlPr>
              <w:rPr>
                <w:rFonts w:ascii="Cambria Math" w:hAnsi="Cambria Math"/>
                <w:szCs w:val="24"/>
              </w:rPr>
            </m:ctrlPr>
          </m:sSubPr>
          <m:e>
            <m:r>
              <w:rPr>
                <w:rFonts w:ascii="Cambria Math" w:hAnsi="Cambria Math"/>
                <w:szCs w:val="24"/>
              </w:rPr>
              <m:t>t</m:t>
            </m:r>
            <m:ctrlPr>
              <w:rPr>
                <w:rFonts w:ascii="Cambria Math" w:hAnsi="Cambria Math"/>
                <w:szCs w:val="24"/>
              </w:rPr>
            </m:ctrlPr>
          </m:e>
          <m:sub>
            <m:r>
              <w:rPr>
                <w:rFonts w:ascii="Cambria Math" w:hAnsi="Cambria Math"/>
                <w:szCs w:val="24"/>
              </w:rPr>
              <m:t>d</m:t>
            </m:r>
            <m:ctrlPr>
              <w:rPr>
                <w:rFonts w:ascii="Cambria Math" w:hAnsi="Cambria Math"/>
                <w:szCs w:val="24"/>
              </w:rPr>
            </m:ctrlPr>
          </m:sub>
        </m:sSub>
      </m:oMath>
      <w:r>
        <w:rPr>
          <w:rFonts w:hint="eastAsia" w:ascii="宋体" w:hAnsi="宋体"/>
          <w:szCs w:val="24"/>
        </w:rPr>
        <w:t>（干球温度计温度℃）；</w:t>
      </w:r>
    </w:p>
    <w:p>
      <w:pPr>
        <w:adjustRightInd/>
        <w:spacing w:line="320" w:lineRule="exact"/>
        <w:ind w:left="424" w:leftChars="200" w:hanging="4" w:hangingChars="2"/>
        <w:jc w:val="left"/>
        <w:rPr>
          <w:rFonts w:ascii="宋体" w:hAnsi="宋体"/>
          <w:szCs w:val="24"/>
        </w:rPr>
      </w:pPr>
      <m:oMath>
        <m:sSub>
          <m:sSubPr>
            <m:ctrlPr>
              <w:rPr>
                <w:rFonts w:ascii="Cambria Math" w:hAnsi="Cambria Math"/>
                <w:szCs w:val="24"/>
              </w:rPr>
            </m:ctrlPr>
          </m:sSubPr>
          <m:e>
            <m:r>
              <w:rPr>
                <w:rFonts w:ascii="Cambria Math" w:hAnsi="Cambria Math"/>
                <w:szCs w:val="24"/>
              </w:rPr>
              <m:t>p</m:t>
            </m:r>
            <m:ctrlPr>
              <w:rPr>
                <w:rFonts w:ascii="Cambria Math" w:hAnsi="Cambria Math"/>
                <w:szCs w:val="24"/>
              </w:rPr>
            </m:ctrlPr>
          </m:e>
          <m:sub>
            <m:r>
              <w:rPr>
                <w:rFonts w:ascii="Cambria Math" w:hAnsi="Cambria Math"/>
                <w:szCs w:val="24"/>
              </w:rPr>
              <m:t>ν</m:t>
            </m:r>
            <m:ctrlPr>
              <w:rPr>
                <w:rFonts w:ascii="Cambria Math" w:hAnsi="Cambria Math"/>
                <w:szCs w:val="24"/>
              </w:rPr>
            </m:ctrlPr>
          </m:sub>
        </m:sSub>
      </m:oMath>
      <w:r>
        <w:rPr>
          <w:rFonts w:ascii="Times New Roman" w:hAnsi="Times New Roman"/>
          <w:szCs w:val="24"/>
        </w:rPr>
        <w:t>——</w:t>
      </w:r>
      <w:r>
        <w:rPr>
          <w:rFonts w:hint="eastAsia" w:ascii="宋体" w:hAnsi="宋体"/>
          <w:szCs w:val="24"/>
        </w:rPr>
        <w:t>空气中的水蒸气分压，这里约等于0</w:t>
      </w:r>
      <w:r>
        <w:rPr>
          <w:rFonts w:ascii="宋体" w:hAnsi="宋体"/>
          <w:szCs w:val="24"/>
        </w:rPr>
        <w:t> </w:t>
      </w:r>
      <w:r>
        <w:rPr>
          <w:rFonts w:hint="eastAsia" w:ascii="宋体" w:hAnsi="宋体"/>
          <w:szCs w:val="24"/>
        </w:rPr>
        <w:t>Pa；</w:t>
      </w:r>
    </w:p>
    <w:p>
      <w:pPr>
        <w:adjustRightInd/>
        <w:spacing w:line="320" w:lineRule="exact"/>
        <w:ind w:left="424" w:leftChars="200" w:hanging="4" w:hangingChars="2"/>
        <w:jc w:val="left"/>
        <w:rPr>
          <w:rFonts w:ascii="宋体" w:hAnsi="宋体"/>
          <w:szCs w:val="24"/>
        </w:rPr>
      </w:pPr>
      <m:oMath>
        <m:sSub>
          <m:sSubPr>
            <m:ctrlPr>
              <w:rPr>
                <w:rFonts w:ascii="Cambria Math" w:hAnsi="Cambria Math"/>
                <w:szCs w:val="24"/>
              </w:rPr>
            </m:ctrlPr>
          </m:sSubPr>
          <m:e>
            <m:r>
              <w:rPr>
                <w:rFonts w:ascii="Cambria Math" w:hAnsi="Cambria Math"/>
                <w:szCs w:val="24"/>
              </w:rPr>
              <m:t>p</m:t>
            </m:r>
            <m:ctrlPr>
              <w:rPr>
                <w:rFonts w:ascii="Cambria Math" w:hAnsi="Cambria Math"/>
                <w:szCs w:val="24"/>
              </w:rPr>
            </m:ctrlPr>
          </m:e>
          <m:sub>
            <m:r>
              <w:rPr>
                <w:rFonts w:ascii="Cambria Math" w:hAnsi="Cambria Math"/>
                <w:szCs w:val="24"/>
              </w:rPr>
              <m:t>a</m:t>
            </m:r>
            <m:ctrlPr>
              <w:rPr>
                <w:rFonts w:ascii="Cambria Math" w:hAnsi="Cambria Math"/>
                <w:szCs w:val="24"/>
              </w:rPr>
            </m:ctrlPr>
          </m:sub>
        </m:sSub>
      </m:oMath>
      <w:r>
        <w:rPr>
          <w:rFonts w:ascii="Times New Roman" w:hAnsi="Times New Roman"/>
          <w:szCs w:val="24"/>
        </w:rPr>
        <w:t>——被测器具几何中心高度的</w:t>
      </w:r>
      <w:r>
        <w:rPr>
          <w:rFonts w:hint="eastAsia" w:ascii="宋体" w:hAnsi="宋体"/>
          <w:szCs w:val="24"/>
        </w:rPr>
        <w:t>大气压，单位为帕斯卡（Pa）。</w:t>
      </w:r>
    </w:p>
    <w:p>
      <w:pPr>
        <w:pStyle w:val="90"/>
        <w:spacing w:before="156" w:after="156"/>
      </w:pPr>
      <w:r>
        <w:rPr>
          <w:rFonts w:hint="eastAsia"/>
        </w:rPr>
        <w:t>计算每一个工况点在试验工况下的风量（</w:t>
      </w:r>
      <m:oMath>
        <m:sSub>
          <m:sSubPr>
            <m:ctrlPr>
              <w:rPr>
                <w:rFonts w:ascii="Cambria Math" w:hAnsi="Cambria Math"/>
              </w:rPr>
            </m:ctrlPr>
          </m:sSubPr>
          <m:e>
            <m:r>
              <w:rPr>
                <w:rFonts w:ascii="Cambria Math" w:hAnsi="Cambria Math"/>
              </w:rPr>
              <m:t>Q</m:t>
            </m:r>
            <m:ctrlPr>
              <w:rPr>
                <w:rFonts w:ascii="Cambria Math" w:hAnsi="Cambria Math"/>
              </w:rPr>
            </m:ctrlPr>
          </m:e>
          <m:sub>
            <m:r>
              <w:rPr>
                <w:rFonts w:ascii="Cambria Math" w:hAnsi="Cambria Math"/>
              </w:rPr>
              <m:t>v</m:t>
            </m:r>
            <m:ctrlPr>
              <w:rPr>
                <w:rFonts w:ascii="Cambria Math" w:hAnsi="Cambria Math"/>
              </w:rPr>
            </m:ctrlPr>
          </m:sub>
        </m:sSub>
      </m:oMath>
      <w:r>
        <w:t>）</w:t>
      </w:r>
    </w:p>
    <w:p>
      <w:pPr>
        <w:pStyle w:val="67"/>
        <w:ind w:firstLine="420"/>
      </w:pPr>
      <w:r>
        <w:rPr>
          <w:rFonts w:hint="eastAsia"/>
        </w:rPr>
        <w:t>试验工况下的风量按式（A.2）计算：</w:t>
      </w:r>
    </w:p>
    <w:p>
      <w:pPr>
        <w:pStyle w:val="124"/>
      </w:pPr>
      <w:r>
        <w:tab/>
      </w:r>
      <m:oMath>
        <m:r>
          <m:rPr>
            <m:sty m:val="p"/>
          </m:rPr>
          <w:rPr>
            <w:rFonts w:ascii="Cambria Math" w:hAnsi="Cambria Math"/>
          </w:rPr>
          <m:t xml:space="preserve"> </m:t>
        </m:r>
        <m:r>
          <m:rPr>
            <m:sty m:val="p"/>
          </m:rPr>
          <w:rPr>
            <w:rFonts w:ascii="Cambria Math" w:hAnsi="Cambria Math"/>
            <w:position w:val="-16"/>
          </w:rPr>
          <w:object>
            <v:shape id="_x0000_i1028" o:spt="75" type="#_x0000_t75" style="height:23.25pt;width:159pt;" o:ole="t" filled="f" o:preferrelative="t" stroked="f" coordsize="21600,21600">
              <v:path/>
              <v:fill on="f" focussize="0,0"/>
              <v:stroke on="f" joinstyle="miter"/>
              <v:imagedata r:id="rId54" o:title=""/>
              <o:lock v:ext="edit" aspectratio="t"/>
              <w10:wrap type="none"/>
              <w10:anchorlock/>
            </v:shape>
            <o:OLEObject Type="Embed" ProgID="Equation.DSMT4" ShapeID="_x0000_i1028" DrawAspect="Content" ObjectID="_1468075728" r:id="rId53">
              <o:LockedField>false</o:LockedField>
            </o:OLEObject>
          </w:object>
        </m:r>
      </m:oMath>
      <w:r>
        <w:rPr>
          <w:rFonts w:ascii="微软雅黑" w:hAnsi="微软雅黑" w:eastAsia="微软雅黑"/>
        </w:rPr>
        <w:tab/>
      </w:r>
      <w:r>
        <w:t>(A.</w:t>
      </w:r>
      <w:r>
        <w:fldChar w:fldCharType="begin"/>
      </w:r>
      <w:r>
        <w:instrText xml:space="preserve">   seq fulu_equation_132549999402513656   </w:instrText>
      </w:r>
      <w:r>
        <w:fldChar w:fldCharType="separate"/>
      </w:r>
      <w:r>
        <w:t>2</w:t>
      </w:r>
      <w:r>
        <w:fldChar w:fldCharType="end"/>
      </w:r>
      <w:r>
        <w:t>)</w:t>
      </w:r>
    </w:p>
    <w:p>
      <w:pPr>
        <w:pStyle w:val="66"/>
        <w:ind w:firstLine="420"/>
      </w:pPr>
      <w:r>
        <w:rPr>
          <w:rFonts w:hint="eastAsia"/>
        </w:rPr>
        <w:t>式中：</w:t>
      </w:r>
    </w:p>
    <w:p>
      <w:pPr>
        <w:pStyle w:val="67"/>
        <w:autoSpaceDE/>
        <w:autoSpaceDN/>
        <w:ind w:firstLine="420"/>
      </w:pPr>
      <m:oMath>
        <m:sSub>
          <m:sSubPr>
            <m:ctrlPr>
              <w:rPr>
                <w:rFonts w:ascii="Cambria Math" w:hAnsi="Cambria Math"/>
              </w:rPr>
            </m:ctrlPr>
          </m:sSubPr>
          <m:e>
            <m:r>
              <w:rPr>
                <w:rFonts w:ascii="Cambria Math" w:hAnsi="Cambria Math"/>
              </w:rPr>
              <m:t>Q</m:t>
            </m:r>
            <m:ctrlPr>
              <w:rPr>
                <w:rFonts w:ascii="Cambria Math" w:hAnsi="Cambria Math"/>
              </w:rPr>
            </m:ctrlPr>
          </m:e>
          <m:sub>
            <m:r>
              <w:rPr>
                <w:rFonts w:ascii="Cambria Math" w:hAnsi="Cambria Math"/>
              </w:rPr>
              <m:t>v</m:t>
            </m:r>
            <m:ctrlPr>
              <w:rPr>
                <w:rFonts w:ascii="Cambria Math" w:hAnsi="Cambria Math"/>
              </w:rPr>
            </m:ctrlPr>
          </m:sub>
        </m:sSub>
      </m:oMath>
      <w:r>
        <w:t>——试验工况下风量，单位为立方米每秒（m</w:t>
      </w:r>
      <w:r>
        <w:rPr>
          <w:vertAlign w:val="superscript"/>
        </w:rPr>
        <w:t>3</w:t>
      </w:r>
      <w:r>
        <w:t>/s）；</w:t>
      </w:r>
    </w:p>
    <w:p>
      <w:pPr>
        <w:pStyle w:val="67"/>
        <w:autoSpaceDE/>
        <w:autoSpaceDN/>
        <w:ind w:firstLine="420"/>
      </w:pPr>
      <w:r>
        <w:rPr>
          <w:position w:val="-6"/>
        </w:rPr>
        <w:object>
          <v:shape id="_x0000_i1029" o:spt="75" type="#_x0000_t75" style="height:11.25pt;width:9.75pt;" o:ole="t" filled="f" o:preferrelative="t" stroked="f" coordsize="21600,21600">
            <v:path/>
            <v:fill on="f" focussize="0,0"/>
            <v:stroke on="f" joinstyle="miter"/>
            <v:imagedata r:id="rId56" o:title=""/>
            <o:lock v:ext="edit" aspectratio="t"/>
            <w10:wrap type="none"/>
            <w10:anchorlock/>
          </v:shape>
          <o:OLEObject Type="Embed" ProgID="Equation.DSMT4" ShapeID="_x0000_i1029" DrawAspect="Content" ObjectID="_1468075729" r:id="rId55">
            <o:LockedField>false</o:LockedField>
          </o:OLEObject>
        </w:object>
      </w:r>
      <w:r>
        <w:t>——膨胀系数，取</w:t>
      </w:r>
      <w:r>
        <w:rPr>
          <w:rFonts w:hint="eastAsia"/>
        </w:rPr>
        <w:t>1；</w:t>
      </w:r>
    </w:p>
    <w:p>
      <w:pPr>
        <w:pStyle w:val="67"/>
        <w:autoSpaceDE/>
        <w:autoSpaceDN/>
        <w:spacing w:line="320" w:lineRule="exact"/>
        <w:ind w:firstLine="420"/>
      </w:pPr>
      <w:r>
        <w:rPr>
          <w:position w:val="-12"/>
        </w:rPr>
        <w:object>
          <v:shape id="_x0000_i1030" o:spt="75" type="#_x0000_t75" style="height:18.75pt;width:12.75pt;" o:ole="t" filled="f" o:preferrelative="t" stroked="f" coordsize="21600,21600">
            <v:path/>
            <v:fill on="f" focussize="0,0"/>
            <v:stroke on="f" joinstyle="miter"/>
            <v:imagedata r:id="rId58" o:title=""/>
            <o:lock v:ext="edit" aspectratio="t"/>
            <w10:wrap type="none"/>
            <w10:anchorlock/>
          </v:shape>
          <o:OLEObject Type="Embed" ProgID="Equation.DSMT4" ShapeID="_x0000_i1030" DrawAspect="Content" ObjectID="_1468075730" r:id="rId57">
            <o:LockedField>false</o:LockedField>
          </o:OLEObject>
        </w:object>
      </w:r>
      <w:r>
        <w:t>——管路流量计的流量系数，无量纲，见</w:t>
      </w:r>
      <w:r>
        <w:rPr>
          <w:rFonts w:hint="eastAsia"/>
        </w:rPr>
        <w:t xml:space="preserve">GB/T </w:t>
      </w:r>
      <w:r>
        <w:t>1236</w:t>
      </w:r>
      <w:r>
        <w:rPr>
          <w:rFonts w:hint="eastAsia"/>
        </w:rPr>
        <w:t>—2017 的表4</w:t>
      </w:r>
      <w:r>
        <w:t>；</w:t>
      </w:r>
    </w:p>
    <w:p>
      <w:pPr>
        <w:pStyle w:val="67"/>
        <w:autoSpaceDE/>
        <w:autoSpaceDN/>
        <w:spacing w:line="320" w:lineRule="exact"/>
        <w:ind w:firstLine="420"/>
      </w:pPr>
      <w:r>
        <w:rPr>
          <w:position w:val="-12"/>
        </w:rPr>
        <w:object>
          <v:shape id="_x0000_i1031" o:spt="75" type="#_x0000_t75" style="height:17.25pt;width:12.75pt;" o:ole="t" filled="f" o:preferrelative="t" stroked="f" coordsize="21600,21600">
            <v:path/>
            <v:fill on="f" focussize="0,0"/>
            <v:stroke on="f" joinstyle="miter"/>
            <v:imagedata r:id="rId60" o:title=""/>
            <o:lock v:ext="edit" aspectratio="t"/>
            <w10:wrap type="none"/>
            <w10:anchorlock/>
          </v:shape>
          <o:OLEObject Type="Embed" ProgID="Equation.DSMT4" ShapeID="_x0000_i1031" DrawAspect="Content" ObjectID="_1468075731" r:id="rId59">
            <o:LockedField>false</o:LockedField>
          </o:OLEObject>
        </w:object>
      </w:r>
      <w:r>
        <w:t>——喷嘴喉道直径；</w:t>
      </w:r>
    </w:p>
    <w:p>
      <w:pPr>
        <w:pStyle w:val="67"/>
        <w:autoSpaceDE/>
        <w:autoSpaceDN/>
        <w:spacing w:line="320" w:lineRule="exact"/>
        <w:ind w:firstLine="420"/>
      </w:pPr>
      <w:r>
        <w:rPr>
          <w:position w:val="-10"/>
        </w:rPr>
        <w:object>
          <v:shape id="_x0000_i1032" o:spt="75" type="#_x0000_t75" style="height:15.75pt;width:18pt;" o:ole="t" filled="f" o:preferrelative="t" stroked="f" coordsize="21600,21600">
            <v:path/>
            <v:fill on="f" focussize="0,0"/>
            <v:stroke on="f" joinstyle="miter"/>
            <v:imagedata r:id="rId62" o:title=""/>
            <o:lock v:ext="edit" aspectratio="t"/>
            <w10:wrap type="none"/>
            <w10:anchorlock/>
          </v:shape>
          <o:OLEObject Type="Embed" ProgID="Equation.DSMT4" ShapeID="_x0000_i1032" DrawAspect="Content" ObjectID="_1468075732" r:id="rId61">
            <o:LockedField>false</o:LockedField>
          </o:OLEObject>
        </w:object>
      </w:r>
      <w:r>
        <w:t>——风室内计示差压，单位为帕斯卡（</w:t>
      </w:r>
      <w:r>
        <w:rPr>
          <w:rFonts w:hint="eastAsia"/>
        </w:rPr>
        <w:t>Pa</w:t>
      </w:r>
      <w:r>
        <w:t xml:space="preserve">）；  </w:t>
      </w:r>
    </w:p>
    <w:p>
      <w:pPr>
        <w:pStyle w:val="67"/>
        <w:autoSpaceDE/>
        <w:autoSpaceDN/>
        <w:spacing w:line="320" w:lineRule="exact"/>
        <w:ind w:firstLine="420"/>
      </w:pPr>
      <w:r>
        <w:rPr>
          <w:position w:val="-12"/>
        </w:rPr>
        <w:object>
          <v:shape id="_x0000_i1033" o:spt="75" type="#_x0000_t75" style="height:18pt;width:15.75pt;" o:ole="t" filled="f" o:preferrelative="t" stroked="f" coordsize="21600,21600">
            <v:path/>
            <v:fill on="f" focussize="0,0"/>
            <v:stroke on="f" joinstyle="miter"/>
            <v:imagedata r:id="rId52" o:title=""/>
            <o:lock v:ext="edit" aspectratio="t"/>
            <w10:wrap type="none"/>
            <w10:anchorlock/>
          </v:shape>
          <o:OLEObject Type="Embed" ProgID="Equation.DSMT4" ShapeID="_x0000_i1033" DrawAspect="Content" ObjectID="_1468075733" r:id="rId63">
            <o:LockedField>false</o:LockedField>
          </o:OLEObject>
        </w:object>
      </w:r>
      <w:r>
        <w:t>——试验环境的空气密度，单位为千克每立方米（</w:t>
      </w:r>
      <w:r>
        <w:rPr>
          <w:rFonts w:hint="eastAsia"/>
        </w:rPr>
        <w:t>kg/m</w:t>
      </w:r>
      <w:r>
        <w:rPr>
          <w:rFonts w:hint="eastAsia"/>
          <w:vertAlign w:val="superscript"/>
        </w:rPr>
        <w:t>3</w:t>
      </w:r>
      <w:r>
        <w:t>），</w:t>
      </w:r>
      <w:r>
        <w:rPr>
          <w:rFonts w:hint="eastAsia"/>
        </w:rPr>
        <w:t>A.</w:t>
      </w:r>
      <w:r>
        <w:t>3.1的计算结果。</w:t>
      </w:r>
    </w:p>
    <w:p>
      <w:pPr>
        <w:pStyle w:val="90"/>
        <w:spacing w:before="156" w:after="156" w:line="320" w:lineRule="exact"/>
      </w:pPr>
      <w:r>
        <w:rPr>
          <w:rFonts w:hint="eastAsia"/>
        </w:rPr>
        <w:t>计算每一个工况点在标准状态下的静压（</w:t>
      </w:r>
      <w:r>
        <w:rPr>
          <w:position w:val="-12"/>
        </w:rPr>
        <w:object>
          <v:shape id="_x0000_i1034" o:spt="75" type="#_x0000_t75" style="height:18pt;width:15.75pt;" o:ole="t" filled="f" o:preferrelative="t" stroked="f" coordsize="21600,21600">
            <v:path/>
            <v:fill on="f" focussize="0,0"/>
            <v:stroke on="f" joinstyle="miter"/>
            <v:imagedata r:id="rId65" o:title=""/>
            <o:lock v:ext="edit" aspectratio="t"/>
            <w10:wrap type="none"/>
            <w10:anchorlock/>
          </v:shape>
          <o:OLEObject Type="Embed" ProgID="Equation.DSMT4" ShapeID="_x0000_i1034" DrawAspect="Content" ObjectID="_1468075734" r:id="rId64">
            <o:LockedField>false</o:LockedField>
          </o:OLEObject>
        </w:object>
      </w:r>
      <w:r>
        <w:rPr>
          <w:rFonts w:hint="eastAsia"/>
        </w:rPr>
        <w:t>）</w:t>
      </w:r>
      <w:r>
        <w:t xml:space="preserve"> </w:t>
      </w:r>
    </w:p>
    <w:p>
      <w:pPr>
        <w:pStyle w:val="67"/>
        <w:spacing w:line="320" w:lineRule="exact"/>
        <w:ind w:firstLine="420"/>
      </w:pPr>
      <w:r>
        <w:rPr>
          <w:rFonts w:hint="eastAsia"/>
        </w:rPr>
        <w:t>标准状态下的静压按式（A.</w:t>
      </w:r>
      <w:r>
        <w:t>3</w:t>
      </w:r>
      <w:r>
        <w:rPr>
          <w:rFonts w:hint="eastAsia"/>
        </w:rPr>
        <w:t>）计算:</w:t>
      </w:r>
    </w:p>
    <w:p>
      <w:pPr>
        <w:pStyle w:val="124"/>
        <w:spacing w:before="156" w:after="156"/>
      </w:pPr>
      <w:r>
        <w:tab/>
      </w:r>
      <m:oMath>
        <m:sSub>
          <m:sSubPr>
            <m:ctrlPr>
              <w:rPr>
                <w:rFonts w:ascii="Cambria Math" w:hAnsi="Cambria Math"/>
              </w:rPr>
            </m:ctrlPr>
          </m:sSubPr>
          <m:e>
            <m:r>
              <w:rPr>
                <w:rFonts w:ascii="Cambria Math" w:hAnsi="Cambria Math"/>
              </w:rPr>
              <m:t>p</m:t>
            </m:r>
            <m:ctrlPr>
              <w:rPr>
                <w:rFonts w:ascii="Cambria Math" w:hAnsi="Cambria Math"/>
              </w:rPr>
            </m:ctrlPr>
          </m:e>
          <m:sub>
            <m:r>
              <w:rPr>
                <w:rFonts w:ascii="Cambria Math" w:hAnsi="Cambria Math"/>
              </w:rPr>
              <m:t>S</m:t>
            </m:r>
            <m:ctrlPr>
              <w:rPr>
                <w:rFonts w:ascii="Cambria Math" w:hAnsi="Cambria Math"/>
              </w:rPr>
            </m:ctrlP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ctrlPr>
                  <w:rPr>
                    <w:rFonts w:ascii="Cambria Math" w:hAnsi="Cambria Math"/>
                    <w:i/>
                  </w:rPr>
                </m:ctrlPr>
              </m:e>
              <m:sub>
                <m:r>
                  <w:rPr>
                    <w:rFonts w:ascii="Cambria Math" w:hAnsi="Cambria Math"/>
                  </w:rPr>
                  <m:t>N</m:t>
                </m:r>
                <m:ctrlPr>
                  <w:rPr>
                    <w:rFonts w:ascii="Cambria Math" w:hAnsi="Cambria Math"/>
                    <w:i/>
                  </w:rPr>
                </m:ctrlPr>
              </m:sub>
            </m:sSub>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S4</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w:rPr>
                    <w:rFonts w:ascii="Cambria Math" w:hAnsi="Cambria Math"/>
                  </w:rPr>
                  <m:t>ρ</m:t>
                </m:r>
                <m:ctrlPr>
                  <w:rPr>
                    <w:rFonts w:ascii="Cambria Math" w:hAnsi="Cambria Math"/>
                    <w:i/>
                  </w:rPr>
                </m:ctrlPr>
              </m:e>
              <m:sub>
                <m:r>
                  <w:rPr>
                    <w:rFonts w:ascii="Cambria Math" w:hAnsi="Cambria Math"/>
                  </w:rPr>
                  <m:t>a</m:t>
                </m:r>
                <m:ctrlPr>
                  <w:rPr>
                    <w:rFonts w:ascii="Cambria Math" w:hAnsi="Cambria Math"/>
                    <w:i/>
                  </w:rPr>
                </m:ctrlPr>
              </m:sub>
            </m:sSub>
            <m:ctrlPr>
              <w:rPr>
                <w:rFonts w:ascii="Cambria Math" w:hAnsi="Cambria Math"/>
                <w:i/>
              </w:rPr>
            </m:ctrlPr>
          </m:den>
        </m:f>
        <m:r>
          <m:rPr>
            <m:sty m:val="p"/>
          </m:rPr>
          <w:rPr>
            <w:rFonts w:ascii="Cambria Math" w:hAnsi="Cambria Math"/>
          </w:rPr>
          <m:t xml:space="preserve"> </m:t>
        </m:r>
      </m:oMath>
      <w:r>
        <w:rPr>
          <w:rFonts w:ascii="微软雅黑" w:hAnsi="微软雅黑" w:eastAsia="微软雅黑"/>
        </w:rPr>
        <w:tab/>
      </w:r>
      <w:r>
        <w:t>(A.</w:t>
      </w:r>
      <w:r>
        <w:fldChar w:fldCharType="begin"/>
      </w:r>
      <w:r>
        <w:instrText xml:space="preserve">   seq fulu_equation_132549999402513656   </w:instrText>
      </w:r>
      <w:r>
        <w:fldChar w:fldCharType="separate"/>
      </w:r>
      <w:r>
        <w:t>3</w:t>
      </w:r>
      <w:r>
        <w:fldChar w:fldCharType="end"/>
      </w:r>
      <w:r>
        <w:t>)</w:t>
      </w:r>
    </w:p>
    <w:p>
      <w:pPr>
        <w:pStyle w:val="66"/>
        <w:ind w:firstLine="420"/>
      </w:pPr>
      <w:r>
        <w:rPr>
          <w:rFonts w:hint="eastAsia"/>
        </w:rPr>
        <w:t>式中：</w:t>
      </w:r>
    </w:p>
    <w:p>
      <w:pPr>
        <w:spacing w:line="320" w:lineRule="exact"/>
        <w:ind w:left="420" w:leftChars="200"/>
      </w:pPr>
      <w:r>
        <w:rPr>
          <w:rFonts w:ascii="Times New Roman" w:hAnsi="Times New Roman"/>
          <w:position w:val="-12"/>
        </w:rPr>
        <w:object>
          <v:shape id="_x0000_i1035" o:spt="75" type="#_x0000_t75" style="height:18pt;width:15.75pt;" o:ole="t" filled="f" o:preferrelative="t" stroked="f" coordsize="21600,21600">
            <v:path/>
            <v:fill on="f" focussize="0,0"/>
            <v:stroke on="f" joinstyle="miter"/>
            <v:imagedata r:id="rId67" o:title=""/>
            <o:lock v:ext="edit" aspectratio="t"/>
            <w10:wrap type="none"/>
            <w10:anchorlock/>
          </v:shape>
          <o:OLEObject Type="Embed" ProgID="Equation.DSMT4" ShapeID="_x0000_i1035" DrawAspect="Content" ObjectID="_1468075735" r:id="rId66">
            <o:LockedField>false</o:LockedField>
          </o:OLEObject>
        </w:object>
      </w:r>
      <w:r>
        <w:rPr>
          <w:rFonts w:ascii="Times New Roman" w:hAnsi="Times New Roman"/>
        </w:rPr>
        <w:t>——空气标准状态</w:t>
      </w:r>
      <w:r>
        <w:t>下的静压，单</w:t>
      </w:r>
      <w:r>
        <w:rPr>
          <w:rFonts w:ascii="宋体" w:hAnsi="宋体"/>
        </w:rPr>
        <w:t>位为帕斯卡（</w:t>
      </w:r>
      <w:r>
        <w:rPr>
          <w:rFonts w:hint="eastAsia" w:ascii="宋体" w:hAnsi="宋体"/>
        </w:rPr>
        <w:t>Pa</w:t>
      </w:r>
      <w:r>
        <w:rPr>
          <w:rFonts w:ascii="宋体" w:hAnsi="宋体"/>
        </w:rPr>
        <w:t>）</w:t>
      </w:r>
      <w:r>
        <w:t>；</w:t>
      </w:r>
    </w:p>
    <w:p>
      <w:pPr>
        <w:pStyle w:val="67"/>
        <w:autoSpaceDE/>
        <w:autoSpaceDN/>
        <w:spacing w:line="320" w:lineRule="exact"/>
        <w:ind w:firstLine="420"/>
      </w:pPr>
      <w:r>
        <w:rPr>
          <w:position w:val="-12"/>
        </w:rPr>
        <w:object>
          <v:shape id="_x0000_i1036" o:spt="75" type="#_x0000_t75" style="height:18pt;width:17.25pt;" o:ole="t" filled="f" o:preferrelative="t" stroked="f" coordsize="21600,21600">
            <v:path/>
            <v:fill on="f" focussize="0,0"/>
            <v:stroke on="f" joinstyle="miter"/>
            <v:imagedata r:id="rId69" o:title=""/>
            <o:lock v:ext="edit" aspectratio="t"/>
            <w10:wrap type="none"/>
            <w10:anchorlock/>
          </v:shape>
          <o:OLEObject Type="Embed" ProgID="Equation.DSMT4" ShapeID="_x0000_i1036" DrawAspect="Content" ObjectID="_1468075736" r:id="rId68">
            <o:LockedField>false</o:LockedField>
          </o:OLEObject>
        </w:object>
      </w:r>
      <w:r>
        <w:t>——空气</w:t>
      </w:r>
      <w:r>
        <w:rPr>
          <w:rFonts w:hint="eastAsia"/>
        </w:rPr>
        <w:t>标准状态下的空气密度</w:t>
      </w:r>
      <w:r>
        <w:t>，单位为千克每立方米（</w:t>
      </w:r>
      <w:r>
        <w:rPr>
          <w:rFonts w:hint="eastAsia"/>
        </w:rPr>
        <w:t>kg/m</w:t>
      </w:r>
      <w:r>
        <w:rPr>
          <w:rFonts w:hint="eastAsia"/>
          <w:vertAlign w:val="superscript"/>
        </w:rPr>
        <w:t>3</w:t>
      </w:r>
      <w:r>
        <w:t>）；</w:t>
      </w:r>
    </w:p>
    <w:p>
      <w:pPr>
        <w:pStyle w:val="67"/>
        <w:spacing w:line="320" w:lineRule="exact"/>
        <w:ind w:firstLine="420"/>
        <w:rPr>
          <w:rFonts w:hAnsi="宋体"/>
        </w:rPr>
      </w:pPr>
      <w:r>
        <w:rPr>
          <w:rFonts w:ascii="Times New Roman"/>
          <w:position w:val="-12"/>
        </w:rPr>
        <w:object>
          <v:shape id="_x0000_i1037" o:spt="75" type="#_x0000_t75" style="height:18pt;width:18.75pt;" o:ole="t" filled="f" o:preferrelative="t" stroked="f" coordsize="21600,21600">
            <v:path/>
            <v:fill on="f" focussize="0,0"/>
            <v:stroke on="f" joinstyle="miter"/>
            <v:imagedata r:id="rId71" o:title=""/>
            <o:lock v:ext="edit" aspectratio="t"/>
            <w10:wrap type="none"/>
            <w10:anchorlock/>
          </v:shape>
          <o:OLEObject Type="Embed" ProgID="Equation.DSMT4" ShapeID="_x0000_i1037" DrawAspect="Content" ObjectID="_1468075737" r:id="rId70">
            <o:LockedField>false</o:LockedField>
          </o:OLEObject>
        </w:object>
      </w:r>
      <w:r>
        <w:rPr>
          <w:rFonts w:ascii="Times New Roman"/>
        </w:rPr>
        <w:t>——</w:t>
      </w:r>
      <w:r>
        <w:t>风室内的计示静压</w:t>
      </w:r>
      <w:r>
        <w:rPr>
          <w:rFonts w:hint="eastAsia"/>
        </w:rPr>
        <w:t>，</w:t>
      </w:r>
      <w:r>
        <w:rPr>
          <w:rFonts w:hint="eastAsia" w:hAnsi="宋体"/>
        </w:rPr>
        <w:t>单位为帕斯卡（Pa）；</w:t>
      </w:r>
    </w:p>
    <w:p>
      <w:pPr>
        <w:pStyle w:val="67"/>
        <w:autoSpaceDE/>
        <w:autoSpaceDN/>
        <w:spacing w:line="320" w:lineRule="exact"/>
        <w:ind w:firstLine="420"/>
      </w:pPr>
      <w:r>
        <w:rPr>
          <w:position w:val="-12"/>
        </w:rPr>
        <w:object>
          <v:shape id="_x0000_i1038" o:spt="75" type="#_x0000_t75" style="height:18pt;width:15.75pt;" o:ole="t" filled="f" o:preferrelative="t" stroked="f" coordsize="21600,21600">
            <v:path/>
            <v:fill on="f" focussize="0,0"/>
            <v:stroke on="f" joinstyle="miter"/>
            <v:imagedata r:id="rId52" o:title=""/>
            <o:lock v:ext="edit" aspectratio="t"/>
            <w10:wrap type="none"/>
            <w10:anchorlock/>
          </v:shape>
          <o:OLEObject Type="Embed" ProgID="Equation.DSMT4" ShapeID="_x0000_i1038" DrawAspect="Content" ObjectID="_1468075738" r:id="rId72">
            <o:LockedField>false</o:LockedField>
          </o:OLEObject>
        </w:object>
      </w:r>
      <w:r>
        <w:t>——试验条件下的空气密度，单位为千克每立方米（</w:t>
      </w:r>
      <w:r>
        <w:rPr>
          <w:rFonts w:hint="eastAsia"/>
        </w:rPr>
        <w:t>kg/m</w:t>
      </w:r>
      <w:r>
        <w:rPr>
          <w:rFonts w:hint="eastAsia"/>
          <w:vertAlign w:val="superscript"/>
        </w:rPr>
        <w:t>3</w:t>
      </w:r>
      <w:r>
        <w:t>），</w:t>
      </w:r>
      <w:r>
        <w:rPr>
          <w:rFonts w:hint="eastAsia"/>
        </w:rPr>
        <w:t>A.</w:t>
      </w:r>
      <w:r>
        <w:t>3.1的计算结果。</w:t>
      </w:r>
    </w:p>
    <w:p>
      <w:pPr>
        <w:pStyle w:val="90"/>
        <w:autoSpaceDE/>
        <w:autoSpaceDN/>
        <w:spacing w:before="156" w:after="156" w:line="320" w:lineRule="exact"/>
      </w:pPr>
      <w:r>
        <w:rPr>
          <w:rFonts w:hint="eastAsia"/>
        </w:rPr>
        <w:t>计算每一个工况点试验工况下的全压（</w:t>
      </w:r>
      <w:r>
        <w:rPr>
          <w:position w:val="-12"/>
        </w:rPr>
        <w:object>
          <v:shape id="_x0000_i1039" o:spt="75" type="#_x0000_t75" style="height:18pt;width:20.25pt;" o:ole="t" filled="f" o:preferrelative="t" stroked="f" coordsize="21600,21600">
            <v:path/>
            <v:fill on="f" focussize="0,0"/>
            <v:stroke on="f" joinstyle="miter"/>
            <v:imagedata r:id="rId74" o:title=""/>
            <o:lock v:ext="edit" aspectratio="t"/>
            <w10:wrap type="none"/>
            <w10:anchorlock/>
          </v:shape>
          <o:OLEObject Type="Embed" ProgID="Equation.DSMT4" ShapeID="_x0000_i1039" DrawAspect="Content" ObjectID="_1468075739" r:id="rId73">
            <o:LockedField>false</o:LockedField>
          </o:OLEObject>
        </w:object>
      </w:r>
      <w:r>
        <w:t xml:space="preserve">） </w:t>
      </w:r>
    </w:p>
    <w:p>
      <w:pPr>
        <w:pStyle w:val="67"/>
        <w:autoSpaceDE/>
        <w:autoSpaceDN/>
        <w:spacing w:after="100" w:afterAutospacing="1" w:line="320" w:lineRule="exact"/>
        <w:ind w:firstLine="420"/>
      </w:pPr>
      <w:r>
        <w:rPr>
          <w:rFonts w:hint="eastAsia"/>
        </w:rPr>
        <w:t>试验工况下的全压</w:t>
      </w:r>
      <w:r>
        <w:rPr>
          <w:position w:val="-12"/>
        </w:rPr>
        <w:object>
          <v:shape id="_x0000_i1040" o:spt="75" type="#_x0000_t75" style="height:18pt;width:20.25pt;" o:ole="t" filled="f" o:preferrelative="t" stroked="f" coordsize="21600,21600">
            <v:path/>
            <v:fill on="f" focussize="0,0"/>
            <v:stroke on="f" joinstyle="miter"/>
            <v:imagedata r:id="rId76" o:title=""/>
            <o:lock v:ext="edit" aspectratio="t"/>
            <w10:wrap type="none"/>
            <w10:anchorlock/>
          </v:shape>
          <o:OLEObject Type="Embed" ProgID="Equation.DSMT4" ShapeID="_x0000_i1040" DrawAspect="Content" ObjectID="_1468075740" r:id="rId75">
            <o:LockedField>false</o:LockedField>
          </o:OLEObject>
        </w:object>
      </w:r>
      <w:r>
        <w:rPr>
          <w:rFonts w:hint="eastAsia"/>
        </w:rPr>
        <w:t>按式（A.</w:t>
      </w:r>
      <w:r>
        <w:t>4</w:t>
      </w:r>
      <w:r>
        <w:rPr>
          <w:rFonts w:hint="eastAsia"/>
        </w:rPr>
        <w:t>）计算：</w:t>
      </w:r>
    </w:p>
    <w:p>
      <w:pPr>
        <w:pStyle w:val="124"/>
        <w:spacing w:before="156" w:after="156"/>
      </w:pPr>
      <w:r>
        <w:tab/>
      </w:r>
      <m:oMath>
        <m:sSub>
          <m:sSubPr>
            <m:ctrlPr>
              <w:rPr>
                <w:rFonts w:ascii="Cambria Math" w:hAnsi="Cambria Math"/>
              </w:rPr>
            </m:ctrlPr>
          </m:sSubPr>
          <m:e>
            <m:r>
              <w:rPr>
                <w:rFonts w:ascii="Cambria Math" w:hAnsi="Cambria Math"/>
              </w:rPr>
              <m:t>p</m:t>
            </m:r>
            <m:ctrlPr>
              <w:rPr>
                <w:rFonts w:ascii="Cambria Math" w:hAnsi="Cambria Math"/>
              </w:rPr>
            </m:ctrlPr>
          </m:e>
          <m:sub>
            <m:r>
              <w:rPr>
                <w:rFonts w:ascii="Cambria Math" w:hAnsi="Cambria Math"/>
              </w:rPr>
              <m:t>FB</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p</m:t>
            </m:r>
            <m:ctrlPr>
              <w:rPr>
                <w:rFonts w:ascii="Cambria Math" w:hAnsi="Cambria Math"/>
              </w:rPr>
            </m:ctrlPr>
          </m:e>
          <m:sub>
            <m:r>
              <w:rPr>
                <w:rFonts w:ascii="Cambria Math" w:hAnsi="Cambria Math"/>
              </w:rPr>
              <m:t>s4</m:t>
            </m:r>
            <m:ctrlPr>
              <w:rPr>
                <w:rFonts w:ascii="Cambria Math" w:hAnsi="Cambria Math"/>
              </w:rPr>
            </m:ctrlPr>
          </m:sub>
        </m:sSub>
        <m:r>
          <w:rPr>
            <w:rFonts w:ascii="Cambria Math" w:hAnsi="Cambria Math"/>
          </w:rPr>
          <m:t>+</m:t>
        </m:r>
        <m:f>
          <m:fPr>
            <m:ctrlPr>
              <w:rPr>
                <w:rFonts w:ascii="Cambria Math" w:hAnsi="Cambria Math"/>
                <w:i/>
              </w:rPr>
            </m:ctrlPr>
          </m:fPr>
          <m:num>
            <m:r>
              <w:rPr>
                <w:rFonts w:ascii="Cambria Math" w:hAnsi="Cambria Math"/>
              </w:rPr>
              <m:t>1</m:t>
            </m:r>
            <m:ctrlPr>
              <w:rPr>
                <w:rFonts w:ascii="Cambria Math" w:hAnsi="Cambria Math"/>
                <w:i/>
              </w:rPr>
            </m:ctrlPr>
          </m:num>
          <m:den>
            <m:r>
              <w:rPr>
                <w:rFonts w:ascii="Cambria Math" w:hAnsi="Cambria Math"/>
              </w:rPr>
              <m:t>2</m:t>
            </m:r>
            <m:sSub>
              <m:sSubPr>
                <m:ctrlPr>
                  <w:rPr>
                    <w:rFonts w:ascii="Cambria Math" w:hAnsi="Cambria Math"/>
                    <w:i/>
                  </w:rPr>
                </m:ctrlPr>
              </m:sSubPr>
              <m:e>
                <m:r>
                  <w:rPr>
                    <w:rFonts w:ascii="Cambria Math" w:hAnsi="Cambria Math"/>
                  </w:rPr>
                  <m:t>ρ</m:t>
                </m:r>
                <m:ctrlPr>
                  <w:rPr>
                    <w:rFonts w:ascii="Cambria Math" w:hAnsi="Cambria Math"/>
                    <w:i/>
                  </w:rPr>
                </m:ctrlPr>
              </m:e>
              <m:sub>
                <m:r>
                  <w:rPr>
                    <w:rFonts w:ascii="Cambria Math" w:hAnsi="Cambria Math"/>
                  </w:rPr>
                  <m:t>a</m:t>
                </m:r>
                <m:ctrlPr>
                  <w:rPr>
                    <w:rFonts w:ascii="Cambria Math" w:hAnsi="Cambria Math"/>
                    <w:i/>
                  </w:rPr>
                </m:ctrlPr>
              </m:sub>
            </m:sSub>
            <m:ctrlPr>
              <w:rPr>
                <w:rFonts w:ascii="Cambria Math" w:hAnsi="Cambria Math"/>
                <w:i/>
              </w:rPr>
            </m:ctrlPr>
          </m:den>
        </m:f>
        <m:sSup>
          <m:sSupPr>
            <m:ctrlPr>
              <w:rPr>
                <w:rFonts w:ascii="Cambria Math" w:hAnsi="Cambria Math"/>
                <w:i/>
              </w:rPr>
            </m:ctrlPr>
          </m:sSupPr>
          <m:e>
            <m:d>
              <m:dPr>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ctrlPr>
                          <w:rPr>
                            <w:rFonts w:ascii="Cambria Math" w:hAnsi="Cambria Math"/>
                            <w:i/>
                          </w:rPr>
                        </m:ctrlPr>
                      </m:e>
                      <m:sub>
                        <m:r>
                          <w:rPr>
                            <w:rFonts w:ascii="Cambria Math" w:hAnsi="Cambria Math"/>
                          </w:rPr>
                          <m:t>v</m:t>
                        </m:r>
                        <m:ctrlPr>
                          <w:rPr>
                            <w:rFonts w:ascii="Cambria Math" w:hAnsi="Cambria Math"/>
                            <w:i/>
                          </w:rPr>
                        </m:ctrlPr>
                      </m:sub>
                    </m:sSub>
                    <m:sSub>
                      <m:sSubPr>
                        <m:ctrlPr>
                          <w:rPr>
                            <w:rFonts w:ascii="Cambria Math" w:hAnsi="Cambria Math"/>
                            <w:i/>
                          </w:rPr>
                        </m:ctrlPr>
                      </m:sSubPr>
                      <m:e>
                        <m:r>
                          <w:rPr>
                            <w:rFonts w:ascii="Cambria Math" w:hAnsi="Cambria Math"/>
                          </w:rPr>
                          <m:t>ρ</m:t>
                        </m:r>
                        <m:ctrlPr>
                          <w:rPr>
                            <w:rFonts w:ascii="Cambria Math" w:hAnsi="Cambria Math"/>
                            <w:i/>
                          </w:rPr>
                        </m:ctrlPr>
                      </m:e>
                      <m:sub>
                        <m:r>
                          <w:rPr>
                            <w:rFonts w:ascii="Cambria Math" w:hAnsi="Cambria Math"/>
                          </w:rPr>
                          <m:t>a</m:t>
                        </m:r>
                        <m:ctrlPr>
                          <w:rPr>
                            <w:rFonts w:ascii="Cambria Math" w:hAnsi="Cambria Math"/>
                            <w:i/>
                          </w:rPr>
                        </m:ctrlPr>
                      </m:sub>
                    </m:sSub>
                    <m:ctrlPr>
                      <w:rPr>
                        <w:rFonts w:ascii="Cambria Math" w:hAnsi="Cambria Math"/>
                        <w:i/>
                      </w:rPr>
                    </m:ctrlPr>
                  </m:num>
                  <m:den>
                    <m:r>
                      <w:rPr>
                        <w:rFonts w:ascii="Cambria Math" w:hAnsi="Cambria Math"/>
                      </w:rPr>
                      <m:t>A</m:t>
                    </m:r>
                    <m:ctrlPr>
                      <w:rPr>
                        <w:rFonts w:ascii="Cambria Math" w:hAnsi="Cambria Math"/>
                        <w:i/>
                      </w:rPr>
                    </m:ctrlPr>
                  </m:den>
                </m:f>
                <m:ctrlPr>
                  <w:rPr>
                    <w:rFonts w:ascii="Cambria Math" w:hAnsi="Cambria Math"/>
                  </w:rPr>
                </m:ctrlPr>
              </m:e>
            </m:d>
            <m:ctrlPr>
              <w:rPr>
                <w:rFonts w:ascii="Cambria Math" w:hAnsi="Cambria Math"/>
                <w:i/>
              </w:rPr>
            </m:ctrlPr>
          </m:e>
          <m:sup>
            <m:r>
              <w:rPr>
                <w:rFonts w:ascii="Cambria Math" w:hAnsi="Cambria Math"/>
              </w:rPr>
              <m:t>2</m:t>
            </m:r>
            <m:ctrlPr>
              <w:rPr>
                <w:rFonts w:ascii="Cambria Math" w:hAnsi="Cambria Math"/>
                <w:i/>
              </w:rPr>
            </m:ctrlPr>
          </m:sup>
        </m:sSup>
      </m:oMath>
      <w:r>
        <w:rPr>
          <w:rFonts w:ascii="微软雅黑" w:hAnsi="微软雅黑" w:eastAsia="微软雅黑"/>
        </w:rPr>
        <w:tab/>
      </w:r>
      <w:r>
        <w:t>(A.</w:t>
      </w:r>
      <w:r>
        <w:fldChar w:fldCharType="begin"/>
      </w:r>
      <w:r>
        <w:instrText xml:space="preserve">   seq fulu_equation_132549999402513656   </w:instrText>
      </w:r>
      <w:r>
        <w:fldChar w:fldCharType="separate"/>
      </w:r>
      <w:r>
        <w:t>4</w:t>
      </w:r>
      <w:r>
        <w:fldChar w:fldCharType="end"/>
      </w:r>
      <w:r>
        <w:t>)</w:t>
      </w:r>
    </w:p>
    <w:p>
      <w:pPr>
        <w:pStyle w:val="66"/>
        <w:ind w:firstLine="420"/>
      </w:pPr>
      <w:r>
        <w:rPr>
          <w:rFonts w:hint="eastAsia"/>
        </w:rPr>
        <w:t>式中：</w:t>
      </w:r>
    </w:p>
    <w:p>
      <w:pPr>
        <w:pStyle w:val="67"/>
        <w:spacing w:line="320" w:lineRule="exact"/>
        <w:ind w:firstLine="420"/>
        <w:rPr>
          <w:rFonts w:hAnsi="宋体"/>
        </w:rPr>
      </w:pPr>
      <w:r>
        <w:rPr>
          <w:position w:val="-12"/>
        </w:rPr>
        <w:object>
          <v:shape id="_x0000_i1041" o:spt="75" type="#_x0000_t75" style="height:18pt;width:20.25pt;" o:ole="t" filled="f" o:preferrelative="t" stroked="f" coordsize="21600,21600">
            <v:path/>
            <v:fill on="f" focussize="0,0"/>
            <v:stroke on="f" joinstyle="miter"/>
            <v:imagedata r:id="rId78" o:title=""/>
            <o:lock v:ext="edit" aspectratio="t"/>
            <w10:wrap type="none"/>
            <w10:anchorlock/>
          </v:shape>
          <o:OLEObject Type="Embed" ProgID="Equation.DSMT4" ShapeID="_x0000_i1041" DrawAspect="Content" ObjectID="_1468075741" r:id="rId77">
            <o:LockedField>false</o:LockedField>
          </o:OLEObject>
        </w:object>
      </w:r>
      <w:r>
        <w:t>——试验工况下的全压</w:t>
      </w:r>
      <w:r>
        <w:rPr>
          <w:rFonts w:hint="eastAsia"/>
        </w:rPr>
        <w:t>，</w:t>
      </w:r>
      <w:r>
        <w:rPr>
          <w:rFonts w:hint="eastAsia" w:hAnsi="宋体"/>
        </w:rPr>
        <w:t>单位为帕斯卡（Pa）；</w:t>
      </w:r>
    </w:p>
    <w:p>
      <w:pPr>
        <w:spacing w:line="320" w:lineRule="exact"/>
        <w:ind w:left="424" w:leftChars="200" w:hanging="4" w:hangingChars="2"/>
      </w:pPr>
      <w:r>
        <w:rPr>
          <w:position w:val="-12"/>
        </w:rPr>
        <w:object>
          <v:shape id="_x0000_i1042" o:spt="75" type="#_x0000_t75" style="height:18pt;width:18.75pt;" o:ole="t" filled="f" o:preferrelative="t" stroked="f" coordsize="21600,21600">
            <v:path/>
            <v:fill on="f" focussize="0,0"/>
            <v:stroke on="f" joinstyle="miter"/>
            <v:imagedata r:id="rId80" o:title=""/>
            <o:lock v:ext="edit" aspectratio="t"/>
            <w10:wrap type="none"/>
            <w10:anchorlock/>
          </v:shape>
          <o:OLEObject Type="Embed" ProgID="Equation.DSMT4" ShapeID="_x0000_i1042" DrawAspect="Content" ObjectID="_1468075742" r:id="rId79">
            <o:LockedField>false</o:LockedField>
          </o:OLEObject>
        </w:object>
      </w:r>
      <w:r>
        <w:rPr>
          <w:rFonts w:ascii="Times New Roman" w:hAnsi="Times New Roman"/>
        </w:rPr>
        <w:t>——</w:t>
      </w:r>
      <w:r>
        <w:rPr>
          <w:rFonts w:hint="eastAsia"/>
        </w:rPr>
        <w:t>风室内的计示静压，单</w:t>
      </w:r>
      <w:r>
        <w:rPr>
          <w:rFonts w:hint="eastAsia" w:ascii="宋体" w:hAnsi="宋体"/>
        </w:rPr>
        <w:t>位为帕（Pa）</w:t>
      </w:r>
      <w:r>
        <w:rPr>
          <w:rFonts w:hint="eastAsia"/>
        </w:rPr>
        <w:t>；</w:t>
      </w:r>
    </w:p>
    <w:p>
      <w:pPr>
        <w:pStyle w:val="67"/>
        <w:spacing w:line="320" w:lineRule="exact"/>
        <w:ind w:firstLine="420"/>
      </w:pPr>
      <w:r>
        <w:rPr>
          <w:position w:val="-12"/>
        </w:rPr>
        <w:object>
          <v:shape id="_x0000_i1043" o:spt="75" type="#_x0000_t75" style="height:18pt;width:15.75pt;" o:ole="t" filled="f" o:preferrelative="t" stroked="f" coordsize="21600,21600">
            <v:path/>
            <v:fill on="f" focussize="0,0"/>
            <v:stroke on="f" joinstyle="miter"/>
            <v:imagedata r:id="rId52" o:title=""/>
            <o:lock v:ext="edit" aspectratio="t"/>
            <w10:wrap type="none"/>
            <w10:anchorlock/>
          </v:shape>
          <o:OLEObject Type="Embed" ProgID="Equation.DSMT4" ShapeID="_x0000_i1043" DrawAspect="Content" ObjectID="_1468075743" r:id="rId81">
            <o:LockedField>false</o:LockedField>
          </o:OLEObject>
        </w:object>
      </w:r>
      <w:r>
        <w:t>——试验环境的空气密度，单位为千克每立方米（</w:t>
      </w:r>
      <w:r>
        <w:rPr>
          <w:rFonts w:hint="eastAsia"/>
        </w:rPr>
        <w:t>kg/m</w:t>
      </w:r>
      <w:r>
        <w:rPr>
          <w:rFonts w:hint="eastAsia"/>
          <w:vertAlign w:val="superscript"/>
        </w:rPr>
        <w:t>3</w:t>
      </w:r>
      <w:r>
        <w:t>），</w:t>
      </w:r>
      <w:r>
        <w:rPr>
          <w:rFonts w:hint="eastAsia"/>
        </w:rPr>
        <w:t>A.</w:t>
      </w:r>
      <w:r>
        <w:t>3.1的计算结果；</w:t>
      </w:r>
    </w:p>
    <w:p>
      <w:pPr>
        <w:pStyle w:val="67"/>
        <w:autoSpaceDE/>
        <w:autoSpaceDN/>
        <w:spacing w:line="320" w:lineRule="exact"/>
        <w:ind w:firstLine="420"/>
      </w:pPr>
      <m:oMath>
        <m:sSub>
          <m:sSubPr>
            <m:ctrlPr>
              <w:rPr>
                <w:rFonts w:ascii="Cambria Math" w:hAnsi="Cambria Math"/>
              </w:rPr>
            </m:ctrlPr>
          </m:sSubPr>
          <m:e>
            <m:r>
              <w:rPr>
                <w:rFonts w:ascii="Cambria Math" w:hAnsi="Cambria Math"/>
              </w:rPr>
              <m:t>Q</m:t>
            </m:r>
            <m:ctrlPr>
              <w:rPr>
                <w:rFonts w:ascii="Cambria Math" w:hAnsi="Cambria Math"/>
              </w:rPr>
            </m:ctrlPr>
          </m:e>
          <m:sub>
            <m:r>
              <w:rPr>
                <w:rFonts w:ascii="Cambria Math" w:hAnsi="Cambria Math"/>
              </w:rPr>
              <m:t>v</m:t>
            </m:r>
            <m:ctrlPr>
              <w:rPr>
                <w:rFonts w:ascii="Cambria Math" w:hAnsi="Cambria Math"/>
              </w:rPr>
            </m:ctrlPr>
          </m:sub>
        </m:sSub>
      </m:oMath>
      <w:r>
        <w:t>——试验工况下的风量，单位为立方米每秒（m</w:t>
      </w:r>
      <w:r>
        <w:rPr>
          <w:vertAlign w:val="superscript"/>
        </w:rPr>
        <w:t>3</w:t>
      </w:r>
      <w:r>
        <w:t>/s），</w:t>
      </w:r>
      <w:r>
        <w:rPr>
          <w:rFonts w:hint="eastAsia"/>
        </w:rPr>
        <w:t>A.</w:t>
      </w:r>
      <w:r>
        <w:t>3.2的计算结果；</w:t>
      </w:r>
    </w:p>
    <w:p>
      <w:pPr>
        <w:spacing w:line="320" w:lineRule="exact"/>
        <w:ind w:left="424" w:leftChars="200" w:hanging="4" w:hangingChars="2"/>
        <w:rPr>
          <w:rFonts w:ascii="宋体" w:hAnsi="宋体"/>
        </w:rPr>
      </w:pPr>
      <m:oMath>
        <m:r>
          <m:rPr>
            <m:sty m:val="p"/>
          </m:rPr>
          <w:rPr>
            <w:rFonts w:ascii="Cambria Math" w:hAnsi="Cambria Math"/>
          </w:rPr>
          <m:t xml:space="preserve">A </m:t>
        </m:r>
      </m:oMath>
      <w:r>
        <w:rPr>
          <w:rFonts w:ascii="Times New Roman" w:hAnsi="Times New Roman"/>
        </w:rPr>
        <w:t>——矩形</w:t>
      </w:r>
      <w:r>
        <w:rPr>
          <w:rFonts w:hint="eastAsia"/>
        </w:rPr>
        <w:t>风室的截面积，单位为平</w:t>
      </w:r>
      <w:r>
        <w:rPr>
          <w:rFonts w:hint="eastAsia" w:ascii="宋体" w:hAnsi="宋体"/>
        </w:rPr>
        <w:t>方米（m</w:t>
      </w:r>
      <w:r>
        <w:rPr>
          <w:rFonts w:hint="eastAsia" w:ascii="宋体" w:hAnsi="宋体"/>
          <w:vertAlign w:val="superscript"/>
        </w:rPr>
        <w:t>2</w:t>
      </w:r>
      <w:r>
        <w:rPr>
          <w:rFonts w:ascii="宋体" w:hAnsi="宋体"/>
        </w:rPr>
        <w:t>）</w:t>
      </w:r>
      <w:r>
        <w:rPr>
          <w:rFonts w:hint="eastAsia" w:ascii="宋体" w:hAnsi="宋体"/>
        </w:rPr>
        <w:t>。</w:t>
      </w:r>
    </w:p>
    <w:p>
      <w:pPr>
        <w:pStyle w:val="90"/>
        <w:spacing w:before="156" w:after="156" w:line="320" w:lineRule="exact"/>
      </w:pPr>
      <w:r>
        <w:rPr>
          <w:rFonts w:hint="eastAsia"/>
        </w:rPr>
        <w:t>计算每一个工况点在标准状态下的全压（</w:t>
      </w:r>
      <w:r>
        <w:rPr>
          <w:position w:val="-12"/>
        </w:rPr>
        <w:object>
          <v:shape id="_x0000_i1044" o:spt="75" type="#_x0000_t75" style="height:18pt;width:24pt;" o:ole="t" filled="f" o:preferrelative="t" stroked="f" coordsize="21600,21600">
            <v:path/>
            <v:fill on="f" focussize="0,0"/>
            <v:stroke on="f" joinstyle="miter"/>
            <v:imagedata r:id="rId83" o:title=""/>
            <o:lock v:ext="edit" aspectratio="t"/>
            <w10:wrap type="none"/>
            <w10:anchorlock/>
          </v:shape>
          <o:OLEObject Type="Embed" ProgID="Equation.DSMT4" ShapeID="_x0000_i1044" DrawAspect="Content" ObjectID="_1468075744" r:id="rId82">
            <o:LockedField>false</o:LockedField>
          </o:OLEObject>
        </w:object>
      </w:r>
      <w:r>
        <w:t>）</w:t>
      </w:r>
    </w:p>
    <w:p>
      <w:pPr>
        <w:adjustRightInd/>
        <w:spacing w:line="320" w:lineRule="exact"/>
        <w:ind w:firstLine="441" w:firstLineChars="210"/>
        <w:jc w:val="left"/>
        <w:rPr>
          <w:rFonts w:ascii="宋体" w:hAnsi="宋体"/>
          <w:szCs w:val="24"/>
        </w:rPr>
      </w:pPr>
      <w:r>
        <w:rPr>
          <w:rFonts w:hint="eastAsia" w:ascii="宋体" w:hAnsi="宋体"/>
          <w:szCs w:val="24"/>
        </w:rPr>
        <w:t>空气标准状态下的全压按式（</w:t>
      </w:r>
      <w:r>
        <w:rPr>
          <w:rFonts w:ascii="宋体" w:hAnsi="宋体"/>
          <w:szCs w:val="24"/>
        </w:rPr>
        <w:t>A.5）计算</w:t>
      </w:r>
      <w:r>
        <w:rPr>
          <w:rFonts w:hint="eastAsia" w:ascii="宋体" w:hAnsi="宋体"/>
          <w:szCs w:val="24"/>
        </w:rPr>
        <w:t>：</w:t>
      </w:r>
    </w:p>
    <w:p>
      <w:pPr>
        <w:pStyle w:val="124"/>
      </w:pPr>
      <w:r>
        <w:tab/>
      </w:r>
      <m:oMath>
        <m:r>
          <m:rPr>
            <m:sty m:val="p"/>
          </m:rPr>
          <w:rPr>
            <w:rFonts w:ascii="Cambria Math" w:hAnsi="Cambria Math"/>
          </w:rPr>
          <m:t xml:space="preserve"> </m:t>
        </m:r>
        <m:r>
          <m:rPr>
            <m:sty m:val="p"/>
          </m:rPr>
          <w:rPr>
            <w:rFonts w:ascii="Cambria Math" w:hAnsi="Cambria Math"/>
            <w:position w:val="-30"/>
          </w:rPr>
          <w:object>
            <v:shape id="_x0000_i1045" o:spt="75" type="#_x0000_t75" style="height:33.75pt;width:71.25pt;" o:ole="t" filled="f" o:preferrelative="t" stroked="f" coordsize="21600,21600">
              <v:path/>
              <v:fill on="f" focussize="0,0"/>
              <v:stroke on="f" joinstyle="miter"/>
              <v:imagedata r:id="rId85" o:title=""/>
              <o:lock v:ext="edit" aspectratio="t"/>
              <w10:wrap type="none"/>
              <w10:anchorlock/>
            </v:shape>
            <o:OLEObject Type="Embed" ProgID="Equation.DSMT4" ShapeID="_x0000_i1045" DrawAspect="Content" ObjectID="_1468075745" r:id="rId84">
              <o:LockedField>false</o:LockedField>
            </o:OLEObject>
          </w:object>
        </m:r>
      </m:oMath>
      <w:r>
        <w:rPr>
          <w:rFonts w:ascii="微软雅黑" w:hAnsi="微软雅黑" w:eastAsia="微软雅黑"/>
        </w:rPr>
        <w:tab/>
      </w:r>
      <w:r>
        <w:t>(A.</w:t>
      </w:r>
      <w:r>
        <w:fldChar w:fldCharType="begin"/>
      </w:r>
      <w:r>
        <w:instrText xml:space="preserve">   seq fulu_equation_132549999402513656   </w:instrText>
      </w:r>
      <w:r>
        <w:fldChar w:fldCharType="separate"/>
      </w:r>
      <w:r>
        <w:t>5</w:t>
      </w:r>
      <w:r>
        <w:fldChar w:fldCharType="end"/>
      </w:r>
      <w:r>
        <w:t>)</w:t>
      </w:r>
    </w:p>
    <w:p>
      <w:pPr>
        <w:pStyle w:val="66"/>
        <w:ind w:firstLine="420"/>
      </w:pPr>
      <w:r>
        <w:rPr>
          <w:rFonts w:hint="eastAsia"/>
        </w:rPr>
        <w:t>式中：</w:t>
      </w:r>
    </w:p>
    <w:p>
      <w:pPr>
        <w:pStyle w:val="67"/>
        <w:spacing w:line="320" w:lineRule="exact"/>
        <w:ind w:firstLine="420"/>
      </w:pPr>
      <w:r>
        <w:rPr>
          <w:position w:val="-12"/>
        </w:rPr>
        <w:object>
          <v:shape id="_x0000_i1046" o:spt="75" type="#_x0000_t75" style="height:18pt;width:24pt;" o:ole="t" filled="f" o:preferrelative="t" stroked="f" coordsize="21600,21600">
            <v:path/>
            <v:fill on="f" focussize="0,0"/>
            <v:stroke on="f" joinstyle="miter"/>
            <v:imagedata r:id="rId87" o:title=""/>
            <o:lock v:ext="edit" aspectratio="t"/>
            <w10:wrap type="none"/>
            <w10:anchorlock/>
          </v:shape>
          <o:OLEObject Type="Embed" ProgID="Equation.DSMT4" ShapeID="_x0000_i1046" DrawAspect="Content" ObjectID="_1468075746" r:id="rId86">
            <o:LockedField>false</o:LockedField>
          </o:OLEObject>
        </w:object>
      </w:r>
      <w:r>
        <w:t>——空气标准状态下的全压，单位为帕斯卡（</w:t>
      </w:r>
      <w:r>
        <w:rPr>
          <w:rFonts w:hint="eastAsia"/>
        </w:rPr>
        <w:t>Pa</w:t>
      </w:r>
      <w:r>
        <w:t>）；</w:t>
      </w:r>
    </w:p>
    <w:p>
      <w:pPr>
        <w:pStyle w:val="67"/>
        <w:autoSpaceDE/>
        <w:autoSpaceDN/>
        <w:spacing w:line="320" w:lineRule="exact"/>
        <w:ind w:firstLine="420"/>
      </w:pPr>
      <w:r>
        <w:rPr>
          <w:position w:val="-12"/>
        </w:rPr>
        <w:object>
          <v:shape id="_x0000_i1047" o:spt="75" type="#_x0000_t75" style="height:18pt;width:17.25pt;" o:ole="t" filled="f" o:preferrelative="t" stroked="f" coordsize="21600,21600">
            <v:path/>
            <v:fill on="f" focussize="0,0"/>
            <v:stroke on="f" joinstyle="miter"/>
            <v:imagedata r:id="rId69" o:title=""/>
            <o:lock v:ext="edit" aspectratio="t"/>
            <w10:wrap type="none"/>
            <w10:anchorlock/>
          </v:shape>
          <o:OLEObject Type="Embed" ProgID="Equation.DSMT4" ShapeID="_x0000_i1047" DrawAspect="Content" ObjectID="_1468075747" r:id="rId88">
            <o:LockedField>false</o:LockedField>
          </o:OLEObject>
        </w:object>
      </w:r>
      <w:r>
        <w:t>——空气</w:t>
      </w:r>
      <w:r>
        <w:rPr>
          <w:rFonts w:hint="eastAsia"/>
        </w:rPr>
        <w:t>标准状态下的空气密度</w:t>
      </w:r>
      <w:r>
        <w:t>，单位为千克每立方米（</w:t>
      </w:r>
      <w:r>
        <w:rPr>
          <w:rFonts w:hint="eastAsia"/>
        </w:rPr>
        <w:t>kg/m</w:t>
      </w:r>
      <w:r>
        <w:rPr>
          <w:rFonts w:hint="eastAsia"/>
          <w:vertAlign w:val="superscript"/>
        </w:rPr>
        <w:t>3</w:t>
      </w:r>
      <w:r>
        <w:t>）；</w:t>
      </w:r>
    </w:p>
    <w:p>
      <w:pPr>
        <w:pStyle w:val="67"/>
        <w:autoSpaceDE/>
        <w:autoSpaceDN/>
        <w:spacing w:line="320" w:lineRule="exact"/>
        <w:ind w:firstLine="420"/>
      </w:pPr>
      <w:r>
        <w:rPr>
          <w:position w:val="-12"/>
        </w:rPr>
        <w:object>
          <v:shape id="_x0000_i1048" o:spt="75" type="#_x0000_t75" style="height:18pt;width:15.75pt;" o:ole="t" filled="f" o:preferrelative="t" stroked="f" coordsize="21600,21600">
            <v:path/>
            <v:fill on="f" focussize="0,0"/>
            <v:stroke on="f" joinstyle="miter"/>
            <v:imagedata r:id="rId52" o:title=""/>
            <o:lock v:ext="edit" aspectratio="t"/>
            <w10:wrap type="none"/>
            <w10:anchorlock/>
          </v:shape>
          <o:OLEObject Type="Embed" ProgID="Equation.DSMT4" ShapeID="_x0000_i1048" DrawAspect="Content" ObjectID="_1468075748" r:id="rId89">
            <o:LockedField>false</o:LockedField>
          </o:OLEObject>
        </w:object>
      </w:r>
      <w:r>
        <w:t>——试验环境的空气密度，单位为千克每立方米（</w:t>
      </w:r>
      <w:r>
        <w:rPr>
          <w:rFonts w:hint="eastAsia"/>
        </w:rPr>
        <w:t>kg/m</w:t>
      </w:r>
      <w:r>
        <w:rPr>
          <w:rFonts w:hint="eastAsia"/>
          <w:vertAlign w:val="superscript"/>
        </w:rPr>
        <w:t>3</w:t>
      </w:r>
      <w:r>
        <w:t>），</w:t>
      </w:r>
      <w:r>
        <w:rPr>
          <w:rFonts w:hint="eastAsia"/>
        </w:rPr>
        <w:t>A.</w:t>
      </w:r>
      <w:r>
        <w:t>3.1的计算结果；</w:t>
      </w:r>
    </w:p>
    <w:p>
      <w:pPr>
        <w:pStyle w:val="67"/>
        <w:autoSpaceDE/>
        <w:autoSpaceDN/>
        <w:spacing w:line="320" w:lineRule="exact"/>
        <w:ind w:firstLine="420"/>
      </w:pPr>
      <w:r>
        <w:rPr>
          <w:position w:val="-12"/>
        </w:rPr>
        <w:object>
          <v:shape id="_x0000_i1049" o:spt="75" type="#_x0000_t75" style="height:18pt;width:20.25pt;" o:ole="t" filled="f" o:preferrelative="t" stroked="f" coordsize="21600,21600">
            <v:path/>
            <v:fill on="f" focussize="0,0"/>
            <v:stroke on="f" joinstyle="miter"/>
            <v:imagedata r:id="rId78" o:title=""/>
            <o:lock v:ext="edit" aspectratio="t"/>
            <w10:wrap type="none"/>
            <w10:anchorlock/>
          </v:shape>
          <o:OLEObject Type="Embed" ProgID="Equation.DSMT4" ShapeID="_x0000_i1049" DrawAspect="Content" ObjectID="_1468075749" r:id="rId90">
            <o:LockedField>false</o:LockedField>
          </o:OLEObject>
        </w:object>
      </w:r>
      <w:r>
        <w:t>——试验工况下的全压</w:t>
      </w:r>
      <w:r>
        <w:rPr>
          <w:rFonts w:hint="eastAsia"/>
        </w:rPr>
        <w:t>，</w:t>
      </w:r>
      <w:r>
        <w:rPr>
          <w:rFonts w:hint="eastAsia" w:hAnsi="宋体"/>
        </w:rPr>
        <w:t>单位为帕斯卡（Pa）,A.</w:t>
      </w:r>
      <w:r>
        <w:rPr>
          <w:rFonts w:hAnsi="宋体"/>
        </w:rPr>
        <w:t>3.4</w:t>
      </w:r>
      <w:r>
        <w:rPr>
          <w:rFonts w:hint="eastAsia" w:hAnsi="宋体"/>
        </w:rPr>
        <w:t>的计算结果。</w:t>
      </w:r>
    </w:p>
    <w:p>
      <w:pPr>
        <w:pStyle w:val="90"/>
        <w:spacing w:before="0" w:beforeLines="0" w:after="0" w:afterLines="0"/>
      </w:pPr>
      <w:r>
        <w:rPr>
          <w:rFonts w:hint="eastAsia"/>
        </w:rPr>
        <w:t>计算每一个工况点在试验工况下的全压效率（</w:t>
      </w:r>
      <w:r>
        <w:rPr>
          <w:position w:val="-12"/>
        </w:rPr>
        <w:object>
          <v:shape id="_x0000_i1050" o:spt="75" type="#_x0000_t75" style="height:18.75pt;width:15.75pt;" o:ole="t" filled="f" o:preferrelative="t" stroked="f" coordsize="21600,21600">
            <v:path/>
            <v:fill on="f" focussize="0,0"/>
            <v:stroke on="f" joinstyle="miter"/>
            <v:imagedata r:id="rId92" o:title=""/>
            <o:lock v:ext="edit" aspectratio="t"/>
            <w10:wrap type="none"/>
            <w10:anchorlock/>
          </v:shape>
          <o:OLEObject Type="Embed" ProgID="Equation.DSMT4" ShapeID="_x0000_i1050" DrawAspect="Content" ObjectID="_1468075750" r:id="rId91">
            <o:LockedField>false</o:LockedField>
          </o:OLEObject>
        </w:object>
      </w:r>
      <w:r>
        <w:t>）</w:t>
      </w:r>
      <w:r>
        <w:rPr>
          <w:color w:val="FF0000"/>
        </w:rPr>
        <w:t xml:space="preserve"> </w:t>
      </w:r>
    </w:p>
    <w:p>
      <w:pPr>
        <w:pStyle w:val="67"/>
        <w:autoSpaceDE/>
        <w:autoSpaceDN/>
        <w:ind w:firstLine="420"/>
      </w:pPr>
      <w:r>
        <w:rPr>
          <w:rFonts w:hint="eastAsia"/>
        </w:rPr>
        <w:t>全压效率按式（A</w:t>
      </w:r>
      <w:r>
        <w:t>.6</w:t>
      </w:r>
      <w:r>
        <w:rPr>
          <w:rFonts w:hint="eastAsia"/>
        </w:rPr>
        <w:t>）计算：</w:t>
      </w:r>
    </w:p>
    <w:p>
      <w:pPr>
        <w:pStyle w:val="124"/>
        <w:spacing w:before="156" w:after="156"/>
      </w:pPr>
      <w:r>
        <w:tab/>
      </w:r>
      <m:oMath>
        <m:sSub>
          <m:sSubPr>
            <m:ctrlPr>
              <w:rPr>
                <w:rFonts w:ascii="Cambria Math" w:hAnsi="Cambria Math"/>
                <w:szCs w:val="24"/>
              </w:rPr>
            </m:ctrlPr>
          </m:sSubPr>
          <m:e>
            <m:r>
              <w:rPr>
                <w:rFonts w:ascii="Cambria Math" w:hAnsi="Cambria Math"/>
              </w:rPr>
              <m:t>η</m:t>
            </m:r>
            <m:ctrlPr>
              <w:rPr>
                <w:rFonts w:ascii="Cambria Math" w:hAnsi="Cambria Math"/>
                <w:szCs w:val="24"/>
              </w:rPr>
            </m:ctrlPr>
          </m:e>
          <m:sub>
            <m:r>
              <w:rPr>
                <w:rFonts w:ascii="Cambria Math" w:hAnsi="Cambria Math"/>
              </w:rPr>
              <m:t>B</m:t>
            </m:r>
            <m:ctrlPr>
              <w:rPr>
                <w:rFonts w:ascii="Cambria Math" w:hAnsi="Cambria Math"/>
                <w:szCs w:val="24"/>
              </w:rPr>
            </m:ctrlPr>
          </m:sub>
        </m:sSub>
        <m:d>
          <m:dPr>
            <m:begChr m:val="（"/>
            <m:endChr m:val="）"/>
            <m:ctrlPr>
              <w:rPr>
                <w:rFonts w:ascii="Cambria Math" w:hAnsi="Cambria Math"/>
              </w:rPr>
            </m:ctrlPr>
          </m:dPr>
          <m:e>
            <m:r>
              <w:rPr>
                <w:rFonts w:ascii="Cambria Math" w:hAnsi="Cambria Math"/>
              </w:rPr>
              <m:t>%</m:t>
            </m:r>
            <m:ctrlPr>
              <w:rPr>
                <w:rFonts w:ascii="Cambria Math" w:hAnsi="Cambria Math"/>
              </w:rPr>
            </m:ctrlPr>
          </m:e>
        </m:d>
        <m:r>
          <w:rPr>
            <w:rFonts w:ascii="Cambria Math" w:hAnsi="Cambria Math"/>
          </w:rPr>
          <m:t>=</m:t>
        </m:r>
        <m:f>
          <m:fPr>
            <m:ctrlPr>
              <w:rPr>
                <w:rFonts w:ascii="Cambria Math" w:hAnsi="Cambria Math"/>
                <w:i/>
                <w:szCs w:val="24"/>
              </w:rPr>
            </m:ctrlPr>
          </m:fPr>
          <m:num>
            <m:sSub>
              <m:sSubPr>
                <m:ctrlPr>
                  <w:rPr>
                    <w:rFonts w:ascii="Cambria Math" w:hAnsi="Cambria Math"/>
                    <w:szCs w:val="24"/>
                  </w:rPr>
                </m:ctrlPr>
              </m:sSubPr>
              <m:e>
                <m:r>
                  <w:rPr>
                    <w:rFonts w:ascii="Cambria Math" w:hAnsi="Cambria Math"/>
                  </w:rPr>
                  <m:t>Q</m:t>
                </m:r>
                <m:ctrlPr>
                  <w:rPr>
                    <w:rFonts w:ascii="Cambria Math" w:hAnsi="Cambria Math"/>
                    <w:szCs w:val="24"/>
                  </w:rPr>
                </m:ctrlPr>
              </m:e>
              <m:sub>
                <m:r>
                  <w:rPr>
                    <w:rFonts w:ascii="Cambria Math" w:hAnsi="Cambria Math"/>
                  </w:rPr>
                  <m:t>v</m:t>
                </m:r>
                <m:ctrlPr>
                  <w:rPr>
                    <w:rFonts w:ascii="Cambria Math" w:hAnsi="Cambria Math"/>
                    <w:szCs w:val="24"/>
                  </w:rPr>
                </m:ctrlPr>
              </m:sub>
            </m:sSub>
            <m:r>
              <w:rPr>
                <w:rFonts w:ascii="Cambria Math" w:hAnsi="Cambria Math"/>
              </w:rPr>
              <m:t>×</m:t>
            </m:r>
            <m:sSub>
              <m:sSubPr>
                <m:ctrlPr>
                  <w:rPr>
                    <w:rFonts w:ascii="Cambria Math" w:hAnsi="Cambria Math"/>
                    <w:i/>
                    <w:szCs w:val="24"/>
                  </w:rPr>
                </m:ctrlPr>
              </m:sSubPr>
              <m:e>
                <m:r>
                  <w:rPr>
                    <w:rFonts w:ascii="Cambria Math" w:hAnsi="Cambria Math"/>
                  </w:rPr>
                  <m:t>P</m:t>
                </m:r>
                <m:ctrlPr>
                  <w:rPr>
                    <w:rFonts w:ascii="Cambria Math" w:hAnsi="Cambria Math"/>
                    <w:i/>
                    <w:szCs w:val="24"/>
                  </w:rPr>
                </m:ctrlPr>
              </m:e>
              <m:sub>
                <m:r>
                  <m:rPr>
                    <m:sty m:val="p"/>
                  </m:rPr>
                  <w:rPr>
                    <w:rFonts w:ascii="Cambria Math" w:hAnsi="Cambria Math"/>
                  </w:rPr>
                  <m:t>FBn</m:t>
                </m:r>
                <m:ctrlPr>
                  <w:rPr>
                    <w:rFonts w:ascii="Cambria Math" w:hAnsi="Cambria Math"/>
                    <w:i/>
                    <w:szCs w:val="24"/>
                  </w:rPr>
                </m:ctrlPr>
              </m:sub>
            </m:sSub>
            <m:ctrlPr>
              <w:rPr>
                <w:rFonts w:ascii="Cambria Math" w:hAnsi="Cambria Math"/>
                <w:i/>
                <w:szCs w:val="24"/>
              </w:rPr>
            </m:ctrlPr>
          </m:num>
          <m:den>
            <m:r>
              <w:rPr>
                <w:rFonts w:ascii="Cambria Math" w:hAnsi="Cambria Math"/>
              </w:rPr>
              <m:t>P</m:t>
            </m:r>
            <m:ctrlPr>
              <w:rPr>
                <w:rFonts w:ascii="Cambria Math" w:hAnsi="Cambria Math"/>
                <w:i/>
                <w:szCs w:val="24"/>
              </w:rPr>
            </m:ctrlPr>
          </m:den>
        </m:f>
        <m:r>
          <m:rPr>
            <m:sty m:val="p"/>
          </m:rPr>
          <w:rPr>
            <w:rFonts w:ascii="Cambria Math" w:hAnsi="Cambria Math"/>
          </w:rPr>
          <m:t xml:space="preserve">×100% </m:t>
        </m:r>
      </m:oMath>
      <w:r>
        <w:rPr>
          <w:rFonts w:ascii="微软雅黑" w:hAnsi="微软雅黑" w:eastAsia="微软雅黑"/>
        </w:rPr>
        <w:tab/>
      </w:r>
      <w:r>
        <w:t>(A.</w:t>
      </w:r>
      <w:r>
        <w:fldChar w:fldCharType="begin"/>
      </w:r>
      <w:r>
        <w:instrText xml:space="preserve">   seq fulu_equation_132549999402513656   </w:instrText>
      </w:r>
      <w:r>
        <w:fldChar w:fldCharType="separate"/>
      </w:r>
      <w:r>
        <w:t>6</w:t>
      </w:r>
      <w:r>
        <w:fldChar w:fldCharType="end"/>
      </w:r>
      <w:r>
        <w:t>)</w:t>
      </w:r>
    </w:p>
    <w:p>
      <w:pPr>
        <w:pStyle w:val="66"/>
        <w:ind w:firstLine="420"/>
      </w:pPr>
      <w:r>
        <w:rPr>
          <w:rFonts w:hint="eastAsia"/>
        </w:rPr>
        <w:t>式中：</w:t>
      </w:r>
    </w:p>
    <w:p>
      <w:pPr>
        <w:pStyle w:val="67"/>
        <w:spacing w:line="320" w:lineRule="exact"/>
        <w:ind w:firstLine="420"/>
      </w:pPr>
      <w:r>
        <w:rPr>
          <w:color w:val="FF0000"/>
          <w:position w:val="-12"/>
        </w:rPr>
        <w:object>
          <v:shape id="_x0000_i1051" o:spt="75" type="#_x0000_t75" style="height:18.75pt;width:15.75pt;" o:ole="t" filled="f" o:preferrelative="t" stroked="f" coordsize="21600,21600">
            <v:path/>
            <v:fill on="f" focussize="0,0"/>
            <v:stroke on="f" joinstyle="miter"/>
            <v:imagedata r:id="rId92" o:title=""/>
            <o:lock v:ext="edit" aspectratio="t"/>
            <w10:wrap type="none"/>
            <w10:anchorlock/>
          </v:shape>
          <o:OLEObject Type="Embed" ProgID="Equation.DSMT4" ShapeID="_x0000_i1051" DrawAspect="Content" ObjectID="_1468075751" r:id="rId93">
            <o:LockedField>false</o:LockedField>
          </o:OLEObject>
        </w:object>
      </w:r>
      <w:r>
        <w:t>——试验工况下的全压效率；</w:t>
      </w:r>
    </w:p>
    <w:p>
      <w:pPr>
        <w:pStyle w:val="67"/>
        <w:autoSpaceDE/>
        <w:autoSpaceDN/>
        <w:spacing w:line="320" w:lineRule="exact"/>
        <w:ind w:firstLine="420"/>
      </w:pPr>
      <m:oMath>
        <m:sSub>
          <m:sSubPr>
            <m:ctrlPr>
              <w:rPr>
                <w:rFonts w:ascii="Cambria Math" w:hAnsi="Cambria Math"/>
              </w:rPr>
            </m:ctrlPr>
          </m:sSubPr>
          <m:e>
            <m:r>
              <w:rPr>
                <w:rFonts w:ascii="Cambria Math" w:hAnsi="Cambria Math"/>
              </w:rPr>
              <m:t>Q</m:t>
            </m:r>
            <m:ctrlPr>
              <w:rPr>
                <w:rFonts w:ascii="Cambria Math" w:hAnsi="Cambria Math"/>
              </w:rPr>
            </m:ctrlPr>
          </m:e>
          <m:sub>
            <m:r>
              <w:rPr>
                <w:rFonts w:ascii="Cambria Math" w:hAnsi="Cambria Math"/>
              </w:rPr>
              <m:t>v</m:t>
            </m:r>
            <m:ctrlPr>
              <w:rPr>
                <w:rFonts w:ascii="Cambria Math" w:hAnsi="Cambria Math"/>
              </w:rPr>
            </m:ctrlPr>
          </m:sub>
        </m:sSub>
      </m:oMath>
      <w:r>
        <w:t>——试验工况下的风量，单位为立方米每秒（m</w:t>
      </w:r>
      <w:r>
        <w:rPr>
          <w:vertAlign w:val="superscript"/>
        </w:rPr>
        <w:t>3</w:t>
      </w:r>
      <w:r>
        <w:t>/s），</w:t>
      </w:r>
      <w:r>
        <w:rPr>
          <w:rFonts w:hint="eastAsia"/>
        </w:rPr>
        <w:t>A.</w:t>
      </w:r>
      <w:r>
        <w:t>3.2的计算结果；</w:t>
      </w:r>
    </w:p>
    <w:p>
      <w:pPr>
        <w:pStyle w:val="67"/>
        <w:autoSpaceDE/>
        <w:autoSpaceDN/>
        <w:spacing w:line="320" w:lineRule="exact"/>
        <w:ind w:firstLine="420"/>
      </w:pPr>
      <w:r>
        <w:rPr>
          <w:position w:val="-12"/>
        </w:rPr>
        <w:object>
          <v:shape id="_x0000_i1052" o:spt="75" type="#_x0000_t75" style="height:18pt;width:24pt;" o:ole="t" filled="f" o:preferrelative="t" stroked="f" coordsize="21600,21600">
            <v:path/>
            <v:fill on="f" focussize="0,0"/>
            <v:stroke on="f" joinstyle="miter"/>
            <v:imagedata r:id="rId87" o:title=""/>
            <o:lock v:ext="edit" aspectratio="t"/>
            <w10:wrap type="none"/>
            <w10:anchorlock/>
          </v:shape>
          <o:OLEObject Type="Embed" ProgID="Equation.DSMT4" ShapeID="_x0000_i1052" DrawAspect="Content" ObjectID="_1468075752" r:id="rId94">
            <o:LockedField>false</o:LockedField>
          </o:OLEObject>
        </w:object>
      </w:r>
      <w:r>
        <w:t>——空气标准状态下的全压，单位为帕斯卡（</w:t>
      </w:r>
      <w:r>
        <w:rPr>
          <w:rFonts w:hint="eastAsia"/>
        </w:rPr>
        <w:t>Pa</w:t>
      </w:r>
      <w:r>
        <w:t>）</w:t>
      </w:r>
      <w:r>
        <w:rPr>
          <w:rFonts w:hint="eastAsia"/>
        </w:rPr>
        <w:t>,A</w:t>
      </w:r>
      <w:r>
        <w:t>.3.5的计算结果</w:t>
      </w:r>
      <w:r>
        <w:rPr>
          <w:rFonts w:hint="eastAsia"/>
        </w:rPr>
        <w:t>；</w:t>
      </w:r>
    </w:p>
    <w:p>
      <w:pPr>
        <w:pStyle w:val="67"/>
        <w:ind w:firstLine="420"/>
      </w:pPr>
      <w:r>
        <w:rPr>
          <w:position w:val="-4"/>
        </w:rPr>
        <w:object>
          <v:shape id="_x0000_i1053" o:spt="75" type="#_x0000_t75" style="height:12pt;width:12pt;" o:ole="t" filled="f" o:preferrelative="t" stroked="f" coordsize="21600,21600">
            <v:path/>
            <v:fill on="f" focussize="0,0"/>
            <v:stroke on="f" joinstyle="miter"/>
            <v:imagedata r:id="rId96" o:title=""/>
            <o:lock v:ext="edit" aspectratio="t"/>
            <w10:wrap type="none"/>
            <w10:anchorlock/>
          </v:shape>
          <o:OLEObject Type="Embed" ProgID="Equation.DSMT4" ShapeID="_x0000_i1053" DrawAspect="Content" ObjectID="_1468075753" r:id="rId95">
            <o:LockedField>false</o:LockedField>
          </o:OLEObject>
        </w:object>
      </w:r>
      <w:r>
        <w:rPr>
          <w:rFonts w:hint="eastAsia"/>
        </w:rPr>
        <w:t>——</w:t>
      </w:r>
      <w:r>
        <w:t>主电机输入功率。</w:t>
      </w:r>
    </w:p>
    <w:tbl>
      <w:tblPr>
        <w:tblStyle w:val="3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pPr>
              <w:pStyle w:val="67"/>
              <w:ind w:firstLine="0" w:firstLineChars="0"/>
              <w:jc w:val="center"/>
            </w:pPr>
            <w:r>
              <w:drawing>
                <wp:inline distT="0" distB="0" distL="0" distR="0">
                  <wp:extent cx="5487035" cy="2304415"/>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5487035" cy="2304415"/>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pPr>
              <w:pStyle w:val="190"/>
            </w:pPr>
            <w:r>
              <w:rPr>
                <w:rFonts w:hint="eastAsia"/>
              </w:rPr>
              <w:t>a应大于5倍管径，且应密封</w:t>
            </w:r>
          </w:p>
          <w:p>
            <w:pPr>
              <w:pStyle w:val="67"/>
              <w:ind w:firstLine="0" w:firstLineChars="0"/>
              <w:jc w:val="center"/>
            </w:pPr>
            <w:r>
              <w:rPr>
                <w:rFonts w:hint="eastAsia"/>
              </w:rPr>
              <w:t>a)  外排式器具与试验装置的连接示意图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pPr>
              <w:pStyle w:val="67"/>
              <w:ind w:firstLine="0" w:firstLineChars="0"/>
              <w:jc w:val="center"/>
            </w:pPr>
            <w:r>
              <w:drawing>
                <wp:inline distT="0" distB="0" distL="0" distR="0">
                  <wp:extent cx="5487035" cy="25298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5487035" cy="2529840"/>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pPr>
              <w:pStyle w:val="190"/>
              <w:autoSpaceDE/>
              <w:autoSpaceDN/>
            </w:pPr>
            <w:r>
              <w:rPr>
                <w:rFonts w:hint="eastAsia"/>
              </w:rPr>
              <w:t>循环式器具直接连接到风室，风室入口尺寸应与被测器具的出口尺寸相适应。</w:t>
            </w:r>
          </w:p>
          <w:p>
            <w:pPr>
              <w:pStyle w:val="67"/>
              <w:ind w:firstLine="0" w:firstLineChars="0"/>
              <w:jc w:val="center"/>
            </w:pPr>
            <w:r>
              <w:rPr>
                <w:rFonts w:hint="eastAsia"/>
              </w:rPr>
              <w:t>b</w:t>
            </w:r>
            <w:r>
              <w:t>)</w:t>
            </w:r>
            <w:r>
              <w:rPr>
                <w:rFonts w:hint="eastAsia"/>
              </w:rPr>
              <w:t xml:space="preserve"> </w:t>
            </w:r>
            <w:r>
              <w:t xml:space="preserve"> </w:t>
            </w:r>
            <w:r>
              <w:rPr>
                <w:rFonts w:hint="eastAsia"/>
              </w:rPr>
              <w:t>循环式器具与试验装置的连接示意图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pPr>
              <w:pStyle w:val="67"/>
              <w:ind w:firstLine="0" w:firstLineChars="0"/>
              <w:jc w:val="center"/>
            </w:pPr>
            <w:r>
              <w:drawing>
                <wp:inline distT="0" distB="0" distL="0" distR="0">
                  <wp:extent cx="5487035" cy="21336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5487035" cy="2133600"/>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pPr>
              <w:pStyle w:val="67"/>
              <w:ind w:firstLine="0" w:firstLineChars="0"/>
              <w:jc w:val="center"/>
            </w:pPr>
            <w:r>
              <w:rPr>
                <w:rFonts w:hint="eastAsia"/>
              </w:rPr>
              <w:t>c）  动力在室内的分体式器具与试验装置的连接示意图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pPr>
              <w:pStyle w:val="67"/>
              <w:ind w:firstLine="0" w:firstLineChars="0"/>
              <w:jc w:val="center"/>
            </w:pPr>
            <w:r>
              <w:drawing>
                <wp:inline distT="0" distB="0" distL="0" distR="0">
                  <wp:extent cx="5487035" cy="2188845"/>
                  <wp:effectExtent l="0" t="0" r="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5487035" cy="2188845"/>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pPr>
              <w:pStyle w:val="67"/>
              <w:ind w:firstLine="0" w:firstLineChars="0"/>
              <w:jc w:val="center"/>
            </w:pPr>
            <w:r>
              <w:rPr>
                <w:rFonts w:hint="eastAsia"/>
              </w:rPr>
              <w:t>d）  动力在室外的分体式器具与测试装置的连接示意图</w:t>
            </w:r>
          </w:p>
        </w:tc>
      </w:tr>
    </w:tbl>
    <w:p>
      <w:pPr>
        <w:pStyle w:val="94"/>
        <w:spacing w:before="156" w:after="156"/>
      </w:pPr>
      <w:r>
        <w:t>被测器具与测试装置连接示意图</w:t>
      </w:r>
    </w:p>
    <w:p>
      <w:pPr>
        <w:pStyle w:val="67"/>
        <w:ind w:firstLine="420"/>
      </w:pPr>
    </w:p>
    <w:p>
      <w:pPr>
        <w:pStyle w:val="90"/>
        <w:spacing w:before="156" w:after="156"/>
      </w:pPr>
      <w:r>
        <w:t>工作风量的确定</w:t>
      </w:r>
    </w:p>
    <w:p>
      <w:pPr>
        <w:pStyle w:val="224"/>
      </w:pPr>
      <w:r>
        <w:t>按</w:t>
      </w:r>
      <w:r>
        <w:rPr>
          <w:rFonts w:hint="eastAsia"/>
        </w:rPr>
        <w:t>A.2进行空气性能试验后，绘制器具的空气特性（静压/风量）曲线。</w:t>
      </w:r>
    </w:p>
    <w:p>
      <w:pPr>
        <w:pStyle w:val="224"/>
      </w:pPr>
      <w:r>
        <w:rPr>
          <w:rFonts w:hint="eastAsia"/>
        </w:rPr>
        <w:t>将按A.</w:t>
      </w:r>
      <w:r>
        <w:t>3.2</w:t>
      </w:r>
      <w:r>
        <w:rPr>
          <w:rFonts w:hint="eastAsia"/>
        </w:rPr>
        <w:t>试验得到的每一工况点的风量带入公式A.7，计算每个对应风量下的排烟阻力，并由此绘制出排烟阻力曲线。</w:t>
      </w:r>
    </w:p>
    <w:p>
      <w:pPr>
        <w:pStyle w:val="124"/>
      </w:pPr>
      <w:r>
        <w:tab/>
      </w:r>
      <m:oMath>
        <m:r>
          <m:rPr>
            <m:sty m:val="p"/>
          </m:rPr>
          <w:rPr>
            <w:rFonts w:ascii="Cambria Math" w:hAnsi="Cambria Math"/>
          </w:rPr>
          <m:t xml:space="preserve"> </m:t>
        </m:r>
        <m:r>
          <m:rPr>
            <m:sty m:val="p"/>
          </m:rPr>
          <w:rPr>
            <w:rFonts w:ascii="Cambria Math" w:hAnsi="Cambria Math"/>
            <w:position w:val="-12"/>
          </w:rPr>
          <w:object>
            <v:shape id="_x0000_i1054" o:spt="75" type="#_x0000_t75" style="height:18.75pt;width:54.8pt;" o:ole="t" filled="f" o:preferrelative="t" stroked="f" coordsize="21600,21600">
              <v:path/>
              <v:fill on="f" focussize="0,0"/>
              <v:stroke on="f" joinstyle="miter"/>
              <v:imagedata r:id="rId102" o:title=""/>
              <o:lock v:ext="edit" aspectratio="t"/>
              <w10:wrap type="none"/>
              <w10:anchorlock/>
            </v:shape>
            <o:OLEObject Type="Embed" ProgID="Equation.DSMT4" ShapeID="_x0000_i1054" DrawAspect="Content" ObjectID="_1468075754" r:id="rId101">
              <o:LockedField>false</o:LockedField>
            </o:OLEObject>
          </w:object>
        </m:r>
      </m:oMath>
      <w:r>
        <w:rPr>
          <w:rFonts w:ascii="微软雅黑" w:hAnsi="微软雅黑" w:eastAsia="微软雅黑"/>
        </w:rPr>
        <w:tab/>
      </w:r>
      <w:r>
        <w:t>(A.</w:t>
      </w:r>
      <w:r>
        <w:fldChar w:fldCharType="begin"/>
      </w:r>
      <w:r>
        <w:instrText xml:space="preserve">   seq fulu_equation_132549999402513656   </w:instrText>
      </w:r>
      <w:r>
        <w:fldChar w:fldCharType="separate"/>
      </w:r>
      <w:r>
        <w:t>7</w:t>
      </w:r>
      <w:r>
        <w:fldChar w:fldCharType="end"/>
      </w:r>
      <w:r>
        <w:t>)</w:t>
      </w:r>
    </w:p>
    <w:p>
      <w:pPr>
        <w:pStyle w:val="66"/>
        <w:ind w:firstLine="420"/>
      </w:pPr>
      <w:r>
        <w:rPr>
          <w:rFonts w:hint="eastAsia"/>
        </w:rPr>
        <w:t>式中：</w:t>
      </w:r>
    </w:p>
    <w:p>
      <w:pPr>
        <w:pStyle w:val="124"/>
        <w:spacing w:line="320" w:lineRule="exact"/>
        <w:ind w:firstLine="420" w:firstLineChars="200"/>
        <w:rPr>
          <w:rFonts w:hint="eastAsia" w:ascii="Cambria Math" w:hAnsi="Cambria Math"/>
        </w:rPr>
      </w:pPr>
      <w:r>
        <w:rPr>
          <w:rFonts w:ascii="Cambria Math" w:hAnsi="Cambria Math"/>
          <w:position w:val="-4"/>
        </w:rPr>
        <w:object>
          <v:shape id="_x0000_i1055" o:spt="75" type="#_x0000_t75" style="height:12pt;width:12pt;" o:ole="t" filled="f" o:preferrelative="t" stroked="f" coordsize="21600,21600">
            <v:path/>
            <v:fill on="f" focussize="0,0"/>
            <v:stroke on="f" joinstyle="miter"/>
            <v:imagedata r:id="rId104" o:title=""/>
            <o:lock v:ext="edit" aspectratio="t"/>
            <w10:wrap type="none"/>
            <w10:anchorlock/>
          </v:shape>
          <o:OLEObject Type="Embed" ProgID="Equation.DSMT4" ShapeID="_x0000_i1055" DrawAspect="Content" ObjectID="_1468075755" r:id="rId103">
            <o:LockedField>false</o:LockedField>
          </o:OLEObject>
        </w:object>
      </w:r>
      <w:r>
        <w:rPr>
          <w:rFonts w:ascii="Times New Roman" w:hAnsi="Times New Roman"/>
        </w:rPr>
        <w:t>——排烟阻力，</w:t>
      </w:r>
      <w:r>
        <w:rPr>
          <w:rFonts w:hint="eastAsia" w:ascii="Cambria Math" w:hAnsi="Cambria Math"/>
        </w:rPr>
        <w:t>单位为帕斯卡（Pa）</w:t>
      </w:r>
      <w:r>
        <w:rPr>
          <w:rFonts w:ascii="Cambria Math" w:hAnsi="Cambria Math"/>
        </w:rPr>
        <w:t>；</w:t>
      </w:r>
    </w:p>
    <w:p>
      <w:pPr>
        <w:pStyle w:val="124"/>
        <w:spacing w:line="320" w:lineRule="exact"/>
        <w:ind w:firstLine="420" w:firstLineChars="200"/>
        <w:rPr>
          <w:rFonts w:hint="eastAsia" w:ascii="Cambria Math" w:hAnsi="Cambria Math"/>
        </w:rPr>
      </w:pPr>
      <w:r>
        <w:rPr>
          <w:rFonts w:ascii="Cambria Math" w:hAnsi="Cambria Math"/>
          <w:position w:val="-6"/>
        </w:rPr>
        <w:object>
          <v:shape id="_x0000_i1056" o:spt="75" type="#_x0000_t75" style="height:14.25pt;width:9.75pt;" o:ole="t" filled="f" o:preferrelative="t" stroked="f" coordsize="21600,21600">
            <v:path/>
            <v:fill on="f" focussize="0,0"/>
            <v:stroke on="f" joinstyle="miter"/>
            <v:imagedata r:id="rId106" o:title=""/>
            <o:lock v:ext="edit" aspectratio="t"/>
            <w10:wrap type="none"/>
            <w10:anchorlock/>
          </v:shape>
          <o:OLEObject Type="Embed" ProgID="Equation.DSMT4" ShapeID="_x0000_i1056" DrawAspect="Content" ObjectID="_1468075756" r:id="rId105">
            <o:LockedField>false</o:LockedField>
          </o:OLEObject>
        </w:object>
      </w:r>
      <w:r>
        <w:rPr>
          <w:rFonts w:ascii="Times New Roman" w:hAnsi="Times New Roman"/>
        </w:rPr>
        <w:t>——拟合</w:t>
      </w:r>
      <w:r>
        <w:rPr>
          <w:rFonts w:hint="eastAsia" w:ascii="Cambria Math" w:hAnsi="Cambria Math"/>
        </w:rPr>
        <w:t>阻力系数，取</w:t>
      </w:r>
      <w:r>
        <w:t>2.1</w:t>
      </w:r>
      <w:r>
        <w:rPr>
          <w:rFonts w:hint="eastAsia" w:ascii="Cambria Math" w:hAnsi="Cambria Math"/>
        </w:rPr>
        <w:t>；</w:t>
      </w:r>
    </w:p>
    <w:p>
      <w:pPr>
        <w:pStyle w:val="124"/>
        <w:spacing w:line="320" w:lineRule="exact"/>
        <w:ind w:firstLine="420" w:firstLineChars="200"/>
        <w:rPr>
          <w:rFonts w:hint="eastAsia" w:ascii="Cambria Math" w:hAnsi="Cambria Math"/>
        </w:rPr>
      </w:pPr>
      <m:oMath>
        <m:sSub>
          <m:sSubPr>
            <m:ctrlPr>
              <w:rPr>
                <w:rFonts w:ascii="Cambria Math" w:hAnsi="Cambria Math"/>
              </w:rPr>
            </m:ctrlPr>
          </m:sSubPr>
          <m:e>
            <m:r>
              <w:rPr>
                <w:rFonts w:ascii="Cambria Math" w:hAnsi="Cambria Math"/>
              </w:rPr>
              <m:t>Q</m:t>
            </m:r>
            <m:ctrlPr>
              <w:rPr>
                <w:rFonts w:ascii="Cambria Math" w:hAnsi="Cambria Math"/>
              </w:rPr>
            </m:ctrlPr>
          </m:e>
          <m:sub>
            <m:r>
              <w:rPr>
                <w:rFonts w:ascii="Cambria Math" w:hAnsi="Cambria Math"/>
              </w:rPr>
              <m:t>v</m:t>
            </m:r>
            <m:ctrlPr>
              <w:rPr>
                <w:rFonts w:ascii="Cambria Math" w:hAnsi="Cambria Math"/>
              </w:rPr>
            </m:ctrlPr>
          </m:sub>
        </m:sSub>
      </m:oMath>
      <w:r>
        <w:t>——试验工况下的风量，单位为立方米每秒（m</w:t>
      </w:r>
      <w:r>
        <w:rPr>
          <w:vertAlign w:val="superscript"/>
        </w:rPr>
        <w:t>3</w:t>
      </w:r>
      <w:r>
        <w:t>/s），</w:t>
      </w:r>
      <w:r>
        <w:rPr>
          <w:rFonts w:hint="eastAsia"/>
        </w:rPr>
        <w:t>A.</w:t>
      </w:r>
      <w:r>
        <w:t>3.2的计算结果</w:t>
      </w:r>
      <w:r>
        <w:rPr>
          <w:rFonts w:hint="eastAsia" w:ascii="Cambria Math" w:hAnsi="Cambria Math"/>
        </w:rPr>
        <w:t>。</w:t>
      </w:r>
    </w:p>
    <w:p>
      <w:pPr>
        <w:pStyle w:val="224"/>
        <w:jc w:val="center"/>
      </w:pPr>
      <w:r>
        <w:rPr>
          <w:rFonts w:hint="eastAsia"/>
        </w:rPr>
        <w:t>空气性能特性曲线与排烟阻力曲线的交点所对应的风量即为工作风量，如图A.</w:t>
      </w:r>
      <w:r>
        <w:t>2</w:t>
      </w:r>
      <w:r>
        <w:rPr>
          <w:rFonts w:hint="eastAsia"/>
        </w:rPr>
        <w:t>所示：</w:t>
      </w:r>
      <w:r>
        <w:drawing>
          <wp:inline distT="0" distB="0" distL="0" distR="0">
            <wp:extent cx="4419600" cy="2666365"/>
            <wp:effectExtent l="0" t="0" r="0" b="635"/>
            <wp:docPr id="32" name="图片 32" descr="C:\Users\wangda\Desktop\D17C1079-07E2-43fd-A93F-54C08EF1C4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angda\Desktop\D17C1079-07E2-43fd-A93F-54C08EF1C4D3.png"/>
                    <pic:cNvPicPr>
                      <a:picLocks noChangeAspect="1" noChangeArrowheads="1"/>
                    </pic:cNvPicPr>
                  </pic:nvPicPr>
                  <pic:blipFill>
                    <a:blip r:embed="rId107">
                      <a:extLst>
                        <a:ext uri="{28A0092B-C50C-407E-A947-70E740481C1C}">
                          <a14:useLocalDpi xmlns:a14="http://schemas.microsoft.com/office/drawing/2010/main" val="0"/>
                        </a:ext>
                      </a:extLst>
                    </a:blip>
                    <a:srcRect l="1081" t="1383" r="1428" b="1776"/>
                    <a:stretch>
                      <a:fillRect/>
                    </a:stretch>
                  </pic:blipFill>
                  <pic:spPr>
                    <a:xfrm>
                      <a:off x="0" y="0"/>
                      <a:ext cx="4420046" cy="2667000"/>
                    </a:xfrm>
                    <a:prstGeom prst="rect">
                      <a:avLst/>
                    </a:prstGeom>
                    <a:noFill/>
                    <a:ln>
                      <a:noFill/>
                    </a:ln>
                  </pic:spPr>
                </pic:pic>
              </a:graphicData>
            </a:graphic>
          </wp:inline>
        </w:drawing>
      </w:r>
    </w:p>
    <w:p>
      <w:pPr>
        <w:pStyle w:val="193"/>
        <w:ind w:firstLine="360"/>
      </w:pPr>
      <w:r>
        <w:rPr>
          <w:rFonts w:ascii="Times New Roman"/>
        </w:rPr>
        <w:t xml:space="preserve">—— </w:t>
      </w:r>
      <w:r>
        <w:rPr>
          <w:rFonts w:hint="eastAsia"/>
        </w:rPr>
        <w:t>空气性能特性曲线</w:t>
      </w:r>
    </w:p>
    <w:p>
      <w:pPr>
        <w:pStyle w:val="193"/>
        <w:ind w:firstLine="360"/>
      </w:pPr>
      <w:r>
        <w:rPr>
          <w:rFonts w:hint="eastAsia"/>
        </w:rPr>
        <w:t>---- 排烟阻力曲线</w:t>
      </w:r>
    </w:p>
    <w:p>
      <w:pPr>
        <w:pStyle w:val="193"/>
        <w:ind w:firstLine="360"/>
      </w:pPr>
      <w:r>
        <w:t>〇</w:t>
      </w:r>
      <w:r>
        <w:rPr>
          <w:rFonts w:hint="eastAsia"/>
        </w:rPr>
        <w:t xml:space="preserve"> 工作点</w:t>
      </w:r>
    </w:p>
    <w:p>
      <w:pPr>
        <w:pStyle w:val="94"/>
        <w:spacing w:before="156" w:after="156"/>
      </w:pPr>
      <w:r>
        <w:rPr>
          <w:rFonts w:hint="eastAsia"/>
        </w:rPr>
        <w:t>工作风量确定示意图</w:t>
      </w:r>
    </w:p>
    <w:p>
      <w:pPr>
        <w:pStyle w:val="89"/>
        <w:spacing w:before="156" w:after="156"/>
      </w:pPr>
      <w:r>
        <w:rPr>
          <w:rFonts w:hint="eastAsia"/>
        </w:rPr>
        <w:t>试验报告</w:t>
      </w:r>
    </w:p>
    <w:p>
      <w:pPr>
        <w:pStyle w:val="223"/>
      </w:pPr>
      <w:r>
        <w:t>报告内容包括</w:t>
      </w:r>
      <w:r>
        <w:rPr>
          <w:rFonts w:hint="eastAsia"/>
        </w:rPr>
        <w:t>：</w:t>
      </w:r>
    </w:p>
    <w:p>
      <w:pPr>
        <w:pStyle w:val="185"/>
        <w:numPr>
          <w:ilvl w:val="0"/>
          <w:numId w:val="48"/>
        </w:numPr>
      </w:pPr>
      <w:r>
        <w:t>被测产品名称、型号、</w:t>
      </w:r>
      <w:r>
        <w:rPr>
          <w:rFonts w:hint="eastAsia"/>
        </w:rPr>
        <w:t>制造商</w:t>
      </w:r>
      <w:r>
        <w:t>、商标、出厂编号、测试日期</w:t>
      </w:r>
      <w:r>
        <w:rPr>
          <w:rFonts w:hint="eastAsia"/>
        </w:rPr>
        <w:t>；</w:t>
      </w:r>
    </w:p>
    <w:p>
      <w:pPr>
        <w:pStyle w:val="185"/>
      </w:pPr>
      <w:r>
        <w:t>测试依据</w:t>
      </w:r>
      <w:r>
        <w:rPr>
          <w:rFonts w:hint="eastAsia"/>
        </w:rPr>
        <w:t>；</w:t>
      </w:r>
    </w:p>
    <w:p>
      <w:pPr>
        <w:pStyle w:val="185"/>
      </w:pPr>
      <w:r>
        <w:t>大气条件（环境气压、环境温度、相对湿度）</w:t>
      </w:r>
      <w:r>
        <w:rPr>
          <w:rFonts w:hint="eastAsia"/>
        </w:rPr>
        <w:t>；</w:t>
      </w:r>
    </w:p>
    <w:p>
      <w:pPr>
        <w:pStyle w:val="185"/>
      </w:pPr>
      <w:r>
        <w:t>每一个工况点测试记录及计算结果汇总</w:t>
      </w:r>
      <w:r>
        <w:rPr>
          <w:rFonts w:hint="eastAsia"/>
        </w:rPr>
        <w:t>；</w:t>
      </w:r>
    </w:p>
    <w:p>
      <w:pPr>
        <w:pStyle w:val="185"/>
      </w:pPr>
      <w:r>
        <w:t>空气性能特性曲线</w:t>
      </w:r>
      <w:r>
        <w:rPr>
          <w:rFonts w:hint="eastAsia"/>
        </w:rPr>
        <w:t>；</w:t>
      </w:r>
    </w:p>
    <w:p>
      <w:pPr>
        <w:pStyle w:val="185"/>
      </w:pPr>
      <w:r>
        <w:t>全压效率曲线。</w:t>
      </w:r>
    </w:p>
    <w:p>
      <w:pPr>
        <w:pStyle w:val="223"/>
      </w:pPr>
      <w:r>
        <w:t>试验结果分析包括</w:t>
      </w:r>
      <w:r>
        <w:rPr>
          <w:rFonts w:hint="eastAsia"/>
        </w:rPr>
        <w:t>：</w:t>
      </w:r>
    </w:p>
    <w:p>
      <w:pPr>
        <w:pStyle w:val="185"/>
      </w:pPr>
      <w:r>
        <w:rPr>
          <w:rFonts w:hint="eastAsia"/>
        </w:rPr>
        <w:t>最大全压效率；</w:t>
      </w:r>
    </w:p>
    <w:p>
      <w:pPr>
        <w:pStyle w:val="185"/>
      </w:pPr>
      <w:r>
        <w:rPr>
          <w:rFonts w:hint="eastAsia"/>
        </w:rPr>
        <w:t>最大</w:t>
      </w:r>
      <w:r>
        <w:rPr>
          <w:rFonts w:hAnsi="宋体"/>
        </w:rPr>
        <w:t>主电机输入功率</w:t>
      </w:r>
      <w:r>
        <w:rPr>
          <w:rFonts w:hint="eastAsia"/>
        </w:rPr>
        <w:t>；</w:t>
      </w:r>
    </w:p>
    <w:p>
      <w:pPr>
        <w:pStyle w:val="185"/>
      </w:pPr>
      <w:r>
        <w:rPr>
          <w:rFonts w:hint="eastAsia"/>
        </w:rPr>
        <w:t>工作风量</w:t>
      </w:r>
      <w:r>
        <w:rPr>
          <w:rFonts w:hAnsi="宋体"/>
        </w:rPr>
        <w:t>。</w:t>
      </w:r>
    </w:p>
    <w:p>
      <w:pPr>
        <w:pStyle w:val="67"/>
        <w:ind w:firstLine="420"/>
        <w:sectPr>
          <w:headerReference r:id="rId23" w:type="default"/>
          <w:footerReference r:id="rId25" w:type="default"/>
          <w:headerReference r:id="rId24" w:type="even"/>
          <w:footerReference r:id="rId26" w:type="even"/>
          <w:pgSz w:w="11906" w:h="16838"/>
          <w:pgMar w:top="1871" w:right="1134" w:bottom="1134" w:left="1134" w:header="1418" w:footer="1134" w:gutter="284"/>
          <w:cols w:space="425" w:num="1"/>
          <w:formProt w:val="0"/>
          <w:docGrid w:type="lines" w:linePitch="312" w:charSpace="0"/>
        </w:sectPr>
      </w:pPr>
    </w:p>
    <w:p>
      <w:pPr>
        <w:pStyle w:val="209"/>
        <w:rPr>
          <w:vanish w:val="0"/>
        </w:rPr>
      </w:pPr>
    </w:p>
    <w:p>
      <w:pPr>
        <w:pStyle w:val="210"/>
        <w:rPr>
          <w:vanish w:val="0"/>
        </w:rPr>
      </w:pPr>
    </w:p>
    <w:p>
      <w:pPr>
        <w:pStyle w:val="87"/>
        <w:spacing w:before="78" w:after="156"/>
      </w:pPr>
      <w:r>
        <w:br w:type="textWrapping"/>
      </w:r>
      <w:bookmarkStart w:id="179" w:name="_Toc67426331"/>
      <w:bookmarkStart w:id="180" w:name="_Toc65063245"/>
      <w:bookmarkStart w:id="181" w:name="_Toc65063277"/>
      <w:bookmarkStart w:id="182" w:name="_Toc67429551"/>
      <w:bookmarkStart w:id="183" w:name="_Toc66815978"/>
      <w:bookmarkStart w:id="184" w:name="_Toc67430099"/>
      <w:bookmarkStart w:id="185" w:name="_Toc67318111"/>
      <w:bookmarkStart w:id="186" w:name="_Toc67317893"/>
      <w:bookmarkStart w:id="187" w:name="_Toc66866032"/>
      <w:bookmarkStart w:id="188" w:name="_Toc67429515"/>
      <w:bookmarkStart w:id="189" w:name="_Toc67317837"/>
      <w:bookmarkStart w:id="190" w:name="_Toc66814524"/>
      <w:r>
        <w:rPr>
          <w:rFonts w:hint="eastAsia"/>
        </w:rPr>
        <w:t>（规范性）</w:t>
      </w:r>
      <w:r>
        <w:br w:type="textWrapping"/>
      </w:r>
      <w:r>
        <w:rPr>
          <w:rFonts w:hint="eastAsia"/>
        </w:rPr>
        <w:t>半消声室噪声试验方法</w:t>
      </w:r>
      <w:bookmarkEnd w:id="179"/>
      <w:bookmarkEnd w:id="180"/>
      <w:bookmarkEnd w:id="181"/>
      <w:bookmarkEnd w:id="182"/>
      <w:bookmarkEnd w:id="183"/>
      <w:bookmarkEnd w:id="184"/>
      <w:bookmarkEnd w:id="185"/>
      <w:bookmarkEnd w:id="186"/>
      <w:bookmarkEnd w:id="187"/>
      <w:bookmarkEnd w:id="188"/>
      <w:bookmarkEnd w:id="189"/>
      <w:bookmarkEnd w:id="190"/>
    </w:p>
    <w:p>
      <w:pPr>
        <w:pStyle w:val="67"/>
        <w:ind w:firstLine="420"/>
      </w:pPr>
    </w:p>
    <w:p>
      <w:pPr>
        <w:pStyle w:val="190"/>
      </w:pPr>
      <w:r>
        <w:rPr>
          <w:rFonts w:hint="eastAsia"/>
        </w:rPr>
        <w:t>本附录中的噪声均指半消声室噪声。</w:t>
      </w:r>
    </w:p>
    <w:p>
      <w:pPr>
        <w:pStyle w:val="89"/>
        <w:spacing w:before="156" w:after="156"/>
      </w:pPr>
      <w:bookmarkStart w:id="191" w:name="_Toc65063246"/>
      <w:r>
        <w:rPr>
          <w:rFonts w:hint="eastAsia"/>
        </w:rPr>
        <w:t>试验环境</w:t>
      </w:r>
      <w:bookmarkEnd w:id="191"/>
    </w:p>
    <w:p>
      <w:pPr>
        <w:pStyle w:val="67"/>
        <w:autoSpaceDE/>
        <w:autoSpaceDN/>
        <w:ind w:firstLine="420"/>
      </w:pPr>
      <w:r>
        <w:rPr>
          <w:rFonts w:hint="eastAsia"/>
        </w:rPr>
        <w:t>器具的噪声试验应在符合GB</w:t>
      </w:r>
      <w:r>
        <w:t>/T</w:t>
      </w:r>
      <w:r>
        <w:rPr>
          <w:rFonts w:hint="eastAsia"/>
        </w:rPr>
        <w:t xml:space="preserve"> 4214.1—2017中第4.4条的要求的半消声室中进行。</w:t>
      </w:r>
    </w:p>
    <w:p>
      <w:pPr>
        <w:pStyle w:val="89"/>
        <w:spacing w:before="156" w:after="156"/>
      </w:pPr>
      <w:r>
        <w:rPr>
          <w:rFonts w:hint="eastAsia"/>
        </w:rPr>
        <w:t>测量仪器</w:t>
      </w:r>
    </w:p>
    <w:p>
      <w:pPr>
        <w:pStyle w:val="67"/>
        <w:autoSpaceDE/>
        <w:autoSpaceDN/>
        <w:ind w:firstLine="420"/>
      </w:pPr>
      <w:r>
        <w:rPr>
          <w:rFonts w:hint="eastAsia"/>
        </w:rPr>
        <w:t>测量仪器应符合</w:t>
      </w:r>
      <w:r>
        <w:t>GB/T 4214.1—2017中第5章的要求。必要时宜使用防风罩，同时应对测得的声压级进行修正。</w:t>
      </w:r>
    </w:p>
    <w:p>
      <w:pPr>
        <w:pStyle w:val="89"/>
        <w:spacing w:before="156" w:after="156"/>
      </w:pPr>
      <w:r>
        <w:t>被测</w:t>
      </w:r>
      <w:bookmarkStart w:id="192" w:name="_Toc65063248"/>
      <w:r>
        <w:rPr>
          <w:rFonts w:hint="eastAsia"/>
        </w:rPr>
        <w:t>器具的运行与定位</w:t>
      </w:r>
      <w:bookmarkEnd w:id="192"/>
    </w:p>
    <w:p>
      <w:pPr>
        <w:pStyle w:val="90"/>
        <w:spacing w:before="156" w:after="156"/>
      </w:pPr>
      <w:r>
        <w:rPr>
          <w:rFonts w:hint="eastAsia"/>
        </w:rPr>
        <w:t>被测器具的装配与预处理</w:t>
      </w:r>
    </w:p>
    <w:p>
      <w:pPr>
        <w:pStyle w:val="67"/>
        <w:ind w:firstLine="420"/>
      </w:pPr>
      <w:r>
        <w:rPr>
          <w:rFonts w:hint="eastAsia"/>
        </w:rPr>
        <w:t>器具应装配制造商随机配备的具有设计用途与功能的附件、配件等。外排式器具应安装制造商所提供的最大直径的过渡罩（除去止逆阀等遮盖件）。器具如设计有附加的过滤器，应保持清洁并正确安装。</w:t>
      </w:r>
    </w:p>
    <w:p>
      <w:pPr>
        <w:pStyle w:val="67"/>
        <w:autoSpaceDE/>
        <w:autoSpaceDN/>
        <w:ind w:firstLine="420"/>
      </w:pPr>
      <w:r>
        <w:rPr>
          <w:rFonts w:hint="eastAsia"/>
        </w:rPr>
        <w:t>应注意确保器具的</w:t>
      </w:r>
      <w:r>
        <w:t>排风管</w:t>
      </w:r>
      <w:r>
        <w:rPr>
          <w:rFonts w:hint="eastAsia"/>
        </w:rPr>
        <w:t>不得向测试环境辐射大量的声能或改变器具的声能输出（参见GB/T 6881.2、GB/T 6881.3和GB/T 3767—2016的6.4）。</w:t>
      </w:r>
    </w:p>
    <w:p>
      <w:pPr>
        <w:pStyle w:val="67"/>
        <w:autoSpaceDE/>
        <w:autoSpaceDN/>
        <w:ind w:firstLine="420"/>
      </w:pPr>
      <w:r>
        <w:rPr>
          <w:rFonts w:hint="eastAsia"/>
        </w:rPr>
        <w:t>器具按制造商随机提供的用户使用说明书安装。在噪声测试前，器具应在正常使用条件下以最高转速档下预热运行至少</w:t>
      </w:r>
      <w:r>
        <w:t>4 h</w:t>
      </w:r>
      <w:r>
        <w:rPr>
          <w:rFonts w:hint="eastAsia"/>
        </w:rPr>
        <w:t>。在每组噪声测试前，在最高转速档下运行</w:t>
      </w:r>
      <w:r>
        <w:t>10 min</w:t>
      </w:r>
      <w:r>
        <w:rPr>
          <w:rFonts w:hint="eastAsia"/>
        </w:rPr>
        <w:t>以达到稳定状态。</w:t>
      </w:r>
    </w:p>
    <w:p>
      <w:pPr>
        <w:pStyle w:val="90"/>
        <w:spacing w:before="156" w:after="156"/>
      </w:pPr>
      <w:r>
        <w:rPr>
          <w:rFonts w:hint="eastAsia"/>
        </w:rPr>
        <w:t>供电</w:t>
      </w:r>
    </w:p>
    <w:p>
      <w:pPr>
        <w:pStyle w:val="67"/>
        <w:autoSpaceDE/>
        <w:autoSpaceDN/>
        <w:ind w:firstLine="420"/>
      </w:pPr>
      <w:r>
        <w:t>被测器具的供电应符合</w:t>
      </w:r>
      <w:r>
        <w:rPr>
          <w:rFonts w:hint="eastAsia"/>
        </w:rPr>
        <w:t>GB 4214.1—2017中6.2</w:t>
      </w:r>
      <w:r>
        <w:t>.1</w:t>
      </w:r>
      <w:r>
        <w:rPr>
          <w:rFonts w:hint="eastAsia"/>
        </w:rPr>
        <w:t>条的要求。</w:t>
      </w:r>
    </w:p>
    <w:p>
      <w:pPr>
        <w:pStyle w:val="90"/>
        <w:spacing w:before="156" w:after="156"/>
      </w:pPr>
      <w:r>
        <w:rPr>
          <w:rFonts w:hint="eastAsia"/>
        </w:rPr>
        <w:t>测试期间器具的加载与运行</w:t>
      </w:r>
    </w:p>
    <w:p>
      <w:pPr>
        <w:pStyle w:val="67"/>
        <w:autoSpaceDE/>
        <w:autoSpaceDN/>
        <w:ind w:firstLine="420"/>
      </w:pPr>
      <w:r>
        <w:rPr>
          <w:rFonts w:hint="eastAsia"/>
        </w:rPr>
        <w:t>按照B.3.1的要求装配器具并在最高转速档下运行。</w:t>
      </w:r>
    </w:p>
    <w:p>
      <w:pPr>
        <w:pStyle w:val="67"/>
        <w:autoSpaceDE/>
        <w:autoSpaceDN/>
        <w:ind w:firstLine="420"/>
      </w:pPr>
      <w:r>
        <w:t>外排式器具应安装图</w:t>
      </w:r>
      <w:r>
        <w:rPr>
          <w:rFonts w:hint="eastAsia"/>
        </w:rPr>
        <w:t>B.1所示的</w:t>
      </w:r>
      <w:r>
        <w:t>连接有消声器的标准负载，管道为内径与制造商规定的最大内径一致</w:t>
      </w:r>
      <w:r>
        <w:rPr>
          <w:rFonts w:hint="eastAsia"/>
        </w:rPr>
        <w:t>、内壁光滑的硬管。消声器的横截面应与管道内径相同，其内部不应有可能产生额外压降的突出部分，长度要求见图B.1。消声器的插入损失应满足表1的要求。</w:t>
      </w:r>
    </w:p>
    <w:p>
      <w:pPr>
        <w:tabs>
          <w:tab w:val="left" w:pos="990"/>
        </w:tabs>
        <w:snapToGrid w:val="0"/>
        <w:spacing w:line="360" w:lineRule="exact"/>
        <w:ind w:firstLine="360"/>
        <w:jc w:val="right"/>
        <w:rPr>
          <w:bCs/>
          <w:sz w:val="18"/>
          <w:szCs w:val="18"/>
        </w:rPr>
      </w:pPr>
    </w:p>
    <w:p>
      <w:pPr>
        <w:tabs>
          <w:tab w:val="left" w:pos="990"/>
        </w:tabs>
        <w:snapToGrid w:val="0"/>
        <w:spacing w:line="360" w:lineRule="exact"/>
        <w:ind w:firstLine="360"/>
        <w:jc w:val="right"/>
        <w:rPr>
          <w:bCs/>
          <w:sz w:val="18"/>
          <w:szCs w:val="18"/>
        </w:rPr>
      </w:pPr>
    </w:p>
    <w:p>
      <w:pPr>
        <w:tabs>
          <w:tab w:val="left" w:pos="990"/>
        </w:tabs>
        <w:snapToGrid w:val="0"/>
        <w:spacing w:line="360" w:lineRule="exact"/>
        <w:ind w:firstLine="360"/>
        <w:jc w:val="right"/>
        <w:rPr>
          <w:bCs/>
          <w:sz w:val="18"/>
          <w:szCs w:val="18"/>
        </w:rPr>
      </w:pPr>
    </w:p>
    <w:p>
      <w:pPr>
        <w:tabs>
          <w:tab w:val="left" w:pos="990"/>
        </w:tabs>
        <w:snapToGrid w:val="0"/>
        <w:spacing w:line="360" w:lineRule="exact"/>
        <w:ind w:firstLine="360"/>
        <w:jc w:val="right"/>
        <w:rPr>
          <w:bCs/>
          <w:sz w:val="18"/>
          <w:szCs w:val="18"/>
        </w:rPr>
      </w:pPr>
    </w:p>
    <w:p>
      <w:pPr>
        <w:tabs>
          <w:tab w:val="left" w:pos="990"/>
        </w:tabs>
        <w:snapToGrid w:val="0"/>
        <w:spacing w:line="360" w:lineRule="exact"/>
        <w:ind w:firstLine="360"/>
        <w:jc w:val="right"/>
        <w:rPr>
          <w:bCs/>
          <w:sz w:val="18"/>
          <w:szCs w:val="18"/>
        </w:rPr>
      </w:pPr>
    </w:p>
    <w:p>
      <w:pPr>
        <w:tabs>
          <w:tab w:val="left" w:pos="990"/>
        </w:tabs>
        <w:snapToGrid w:val="0"/>
        <w:spacing w:line="360" w:lineRule="exact"/>
        <w:ind w:firstLine="360"/>
        <w:jc w:val="right"/>
        <w:rPr>
          <w:bCs/>
          <w:sz w:val="18"/>
          <w:szCs w:val="18"/>
        </w:rPr>
      </w:pPr>
    </w:p>
    <w:p>
      <w:pPr>
        <w:tabs>
          <w:tab w:val="left" w:pos="990"/>
        </w:tabs>
        <w:snapToGrid w:val="0"/>
        <w:spacing w:line="360" w:lineRule="exact"/>
        <w:ind w:firstLine="360"/>
        <w:jc w:val="right"/>
        <w:rPr>
          <w:bCs/>
          <w:sz w:val="18"/>
          <w:szCs w:val="18"/>
        </w:rPr>
      </w:pPr>
    </w:p>
    <w:p>
      <w:pPr>
        <w:tabs>
          <w:tab w:val="left" w:pos="990"/>
        </w:tabs>
        <w:snapToGrid w:val="0"/>
        <w:spacing w:line="360" w:lineRule="exact"/>
        <w:ind w:firstLine="360"/>
        <w:jc w:val="right"/>
        <w:rPr>
          <w:bCs/>
          <w:sz w:val="18"/>
          <w:szCs w:val="18"/>
        </w:rPr>
      </w:pPr>
    </w:p>
    <w:p>
      <w:pPr>
        <w:tabs>
          <w:tab w:val="left" w:pos="990"/>
        </w:tabs>
        <w:snapToGrid w:val="0"/>
        <w:spacing w:line="360" w:lineRule="exact"/>
        <w:ind w:firstLine="360"/>
        <w:jc w:val="right"/>
        <w:rPr>
          <w:bCs/>
          <w:sz w:val="18"/>
          <w:szCs w:val="18"/>
        </w:rPr>
      </w:pPr>
    </w:p>
    <w:p>
      <w:pPr>
        <w:tabs>
          <w:tab w:val="left" w:pos="990"/>
        </w:tabs>
        <w:snapToGrid w:val="0"/>
        <w:spacing w:line="360" w:lineRule="exact"/>
        <w:ind w:firstLine="360"/>
        <w:jc w:val="right"/>
        <w:rPr>
          <w:rFonts w:ascii="Times New Roman" w:hAnsi="Times New Roman" w:eastAsia="黑体"/>
          <w:bCs/>
        </w:rPr>
      </w:pPr>
      <w:r>
        <w:rPr>
          <w:rFonts w:hint="eastAsia"/>
          <w:bCs/>
          <w:sz w:val="18"/>
          <w:szCs w:val="18"/>
        </w:rPr>
        <w:t>单位为毫米</w:t>
      </w:r>
    </w:p>
    <w:p>
      <w:pPr>
        <w:pStyle w:val="67"/>
        <w:autoSpaceDE/>
        <w:autoSpaceDN/>
        <w:ind w:firstLine="420"/>
      </w:pPr>
    </w:p>
    <w:p>
      <w:pPr>
        <w:pStyle w:val="67"/>
        <w:autoSpaceDE/>
        <w:autoSpaceDN/>
        <w:ind w:firstLine="0" w:firstLineChars="0"/>
        <w:jc w:val="right"/>
        <w:rPr>
          <w:sz w:val="18"/>
        </w:rPr>
      </w:pPr>
      <w:r>
        <mc:AlternateContent>
          <mc:Choice Requires="wps">
            <w:drawing>
              <wp:anchor distT="0" distB="0" distL="114300" distR="114300" simplePos="0" relativeHeight="251687936" behindDoc="0" locked="0" layoutInCell="1" allowOverlap="1">
                <wp:simplePos x="0" y="0"/>
                <wp:positionH relativeFrom="column">
                  <wp:posOffset>4303395</wp:posOffset>
                </wp:positionH>
                <wp:positionV relativeFrom="paragraph">
                  <wp:posOffset>2593975</wp:posOffset>
                </wp:positionV>
                <wp:extent cx="920115" cy="440690"/>
                <wp:effectExtent l="38100" t="38100" r="13970" b="35560"/>
                <wp:wrapNone/>
                <wp:docPr id="42" name="直接箭头连接符 42"/>
                <wp:cNvGraphicFramePr/>
                <a:graphic xmlns:a="http://schemas.openxmlformats.org/drawingml/2006/main">
                  <a:graphicData uri="http://schemas.microsoft.com/office/word/2010/wordprocessingShape">
                    <wps:wsp>
                      <wps:cNvCnPr/>
                      <wps:spPr bwMode="auto">
                        <a:xfrm flipH="1" flipV="1">
                          <a:off x="0" y="0"/>
                          <a:ext cx="919843" cy="440872"/>
                        </a:xfrm>
                        <a:prstGeom prst="straightConnector1">
                          <a:avLst/>
                        </a:prstGeom>
                        <a:noFill/>
                        <a:ln w="9525">
                          <a:solidFill>
                            <a:srgbClr val="000000"/>
                          </a:solidFill>
                          <a:round/>
                          <a:tailEnd type="triangle"/>
                        </a:ln>
                      </wps:spPr>
                      <wps:bodyPr/>
                    </wps:wsp>
                  </a:graphicData>
                </a:graphic>
              </wp:anchor>
            </w:drawing>
          </mc:Choice>
          <mc:Fallback>
            <w:pict>
              <v:shape id="_x0000_s1026" o:spid="_x0000_s1026" o:spt="32" type="#_x0000_t32" style="position:absolute;left:0pt;flip:x y;margin-left:338.85pt;margin-top:204.25pt;height:34.7pt;width:72.45pt;z-index:251687936;mso-width-relative:page;mso-height-relative:page;" filled="f" stroked="t" coordsize="21600,21600" o:gfxdata="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qaVJHaAAAACwEAAA8AAAAAAAAAAQAgAAAAIgAAAGRycy9kb3du&#10;cmV2LnhtbFBLAQIUABQAAAAIAIdO4kBP+Oq5/QEAAMIDAAAOAAAAAAAAAAEAIAAAACkBAABkcnMv&#10;ZTJvRG9jLnhtbFBLBQYAAAAABgAGAFkBAACYBQAAAAA=&#10;">
                <v:fill on="f" focussize="0,0"/>
                <v:stroke color="#000000" joinstyle="round" endarrow="block"/>
                <v:imagedata o:title=""/>
                <o:lock v:ext="edit" aspectratio="f"/>
              </v:shape>
            </w:pict>
          </mc:Fallback>
        </mc:AlternateContent>
      </w:r>
      <w:r>
        <w:drawing>
          <wp:inline distT="0" distB="0" distL="0" distR="0">
            <wp:extent cx="5219700" cy="292481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08"/>
                    <a:stretch>
                      <a:fillRect/>
                    </a:stretch>
                  </pic:blipFill>
                  <pic:spPr>
                    <a:xfrm>
                      <a:off x="0" y="0"/>
                      <a:ext cx="5288867" cy="2963890"/>
                    </a:xfrm>
                    <a:prstGeom prst="rect">
                      <a:avLst/>
                    </a:prstGeom>
                  </pic:spPr>
                </pic:pic>
              </a:graphicData>
            </a:graphic>
          </wp:inline>
        </w:drawing>
      </w:r>
      <w:r>
        <w:rPr>
          <w:rFonts w:hint="eastAsia"/>
          <w:sz w:val="18"/>
        </w:rPr>
        <w:t>被测器具出</w:t>
      </w:r>
    </w:p>
    <w:p>
      <w:pPr>
        <w:pStyle w:val="67"/>
        <w:autoSpaceDE/>
        <w:autoSpaceDN/>
        <w:ind w:firstLine="0" w:firstLineChars="0"/>
        <w:jc w:val="right"/>
      </w:pPr>
      <w:r>
        <w:rPr>
          <w:rFonts w:hint="eastAsia"/>
          <w:sz w:val="18"/>
        </w:rPr>
        <w:t>风口连接端</w:t>
      </w:r>
    </w:p>
    <w:p>
      <w:pPr>
        <w:pStyle w:val="94"/>
        <w:spacing w:before="156" w:after="156"/>
      </w:pPr>
      <w:r>
        <w:rPr>
          <w:rFonts w:hint="eastAsia"/>
        </w:rPr>
        <w:t>标准负载</w:t>
      </w:r>
    </w:p>
    <w:p>
      <w:pPr>
        <w:pStyle w:val="88"/>
        <w:spacing w:before="156" w:after="156"/>
      </w:pPr>
      <w:r>
        <w:rPr>
          <w:rFonts w:hint="eastAsia"/>
        </w:rPr>
        <w:t>最低插入损失倍频带（dB）</w:t>
      </w:r>
    </w:p>
    <w:tbl>
      <w:tblPr>
        <w:tblStyle w:val="3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66"/>
        <w:gridCol w:w="1367"/>
        <w:gridCol w:w="1367"/>
        <w:gridCol w:w="1368"/>
        <w:gridCol w:w="1367"/>
        <w:gridCol w:w="1367"/>
        <w:gridCol w:w="13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r>
              <w:rPr>
                <w:sz w:val="18"/>
                <w:szCs w:val="18"/>
              </w:rPr>
              <w:t>125Hz</w:t>
            </w:r>
          </w:p>
        </w:tc>
        <w:tc>
          <w:tcPr>
            <w:tcW w:w="13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r>
              <w:rPr>
                <w:sz w:val="18"/>
                <w:szCs w:val="18"/>
              </w:rPr>
              <w:t>250 Hz</w:t>
            </w:r>
          </w:p>
        </w:tc>
        <w:tc>
          <w:tcPr>
            <w:tcW w:w="13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r>
              <w:rPr>
                <w:sz w:val="18"/>
                <w:szCs w:val="18"/>
              </w:rPr>
              <w:t>500 Hz</w:t>
            </w:r>
          </w:p>
        </w:tc>
        <w:tc>
          <w:tcPr>
            <w:tcW w:w="136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r>
              <w:rPr>
                <w:sz w:val="18"/>
                <w:szCs w:val="18"/>
              </w:rPr>
              <w:t>1k Hz</w:t>
            </w:r>
          </w:p>
        </w:tc>
        <w:tc>
          <w:tcPr>
            <w:tcW w:w="13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r>
              <w:rPr>
                <w:sz w:val="18"/>
                <w:szCs w:val="18"/>
              </w:rPr>
              <w:t>2k Hz</w:t>
            </w:r>
          </w:p>
        </w:tc>
        <w:tc>
          <w:tcPr>
            <w:tcW w:w="13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r>
              <w:rPr>
                <w:sz w:val="18"/>
                <w:szCs w:val="18"/>
              </w:rPr>
              <w:t>4k Hz</w:t>
            </w:r>
          </w:p>
        </w:tc>
        <w:tc>
          <w:tcPr>
            <w:tcW w:w="136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r>
              <w:rPr>
                <w:sz w:val="18"/>
                <w:szCs w:val="18"/>
              </w:rPr>
              <w:t>8k 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r>
              <w:rPr>
                <w:sz w:val="18"/>
                <w:szCs w:val="18"/>
              </w:rPr>
              <w:t>8</w:t>
            </w:r>
          </w:p>
        </w:tc>
        <w:tc>
          <w:tcPr>
            <w:tcW w:w="13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r>
              <w:rPr>
                <w:sz w:val="18"/>
                <w:szCs w:val="18"/>
              </w:rPr>
              <w:t>20</w:t>
            </w:r>
          </w:p>
        </w:tc>
        <w:tc>
          <w:tcPr>
            <w:tcW w:w="13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r>
              <w:rPr>
                <w:sz w:val="18"/>
                <w:szCs w:val="18"/>
              </w:rPr>
              <w:t>20</w:t>
            </w:r>
          </w:p>
        </w:tc>
        <w:tc>
          <w:tcPr>
            <w:tcW w:w="136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r>
              <w:rPr>
                <w:sz w:val="18"/>
                <w:szCs w:val="18"/>
              </w:rPr>
              <w:t>20</w:t>
            </w:r>
          </w:p>
        </w:tc>
        <w:tc>
          <w:tcPr>
            <w:tcW w:w="13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r>
              <w:rPr>
                <w:sz w:val="18"/>
                <w:szCs w:val="18"/>
              </w:rPr>
              <w:t>20</w:t>
            </w:r>
          </w:p>
        </w:tc>
        <w:tc>
          <w:tcPr>
            <w:tcW w:w="13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r>
              <w:rPr>
                <w:sz w:val="18"/>
                <w:szCs w:val="18"/>
              </w:rPr>
              <w:t>20</w:t>
            </w:r>
          </w:p>
        </w:tc>
        <w:tc>
          <w:tcPr>
            <w:tcW w:w="136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r>
              <w:rPr>
                <w:sz w:val="18"/>
                <w:szCs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0" w:type="dxa"/>
            <w:gridSpan w:val="7"/>
            <w:tcBorders>
              <w:top w:val="single" w:color="000000" w:sz="4" w:space="0"/>
              <w:left w:val="single" w:color="000000" w:sz="4" w:space="0"/>
              <w:bottom w:val="single" w:color="000000" w:sz="4" w:space="0"/>
              <w:right w:val="single" w:color="000000" w:sz="4" w:space="0"/>
            </w:tcBorders>
          </w:tcPr>
          <w:p>
            <w:pPr>
              <w:pStyle w:val="190"/>
            </w:pPr>
            <w:r>
              <w:rPr>
                <w:rFonts w:hint="eastAsia"/>
              </w:rPr>
              <w:t>插入损失按照</w:t>
            </w:r>
            <w:r>
              <w:t>GB/T 25516—2010</w:t>
            </w:r>
            <w:r>
              <w:rPr>
                <w:rFonts w:hint="eastAsia"/>
              </w:rPr>
              <w:t>进行测量。</w:t>
            </w:r>
          </w:p>
        </w:tc>
      </w:tr>
    </w:tbl>
    <w:p>
      <w:pPr>
        <w:pStyle w:val="67"/>
        <w:ind w:firstLine="420"/>
      </w:pPr>
    </w:p>
    <w:p>
      <w:pPr>
        <w:pStyle w:val="67"/>
        <w:autoSpaceDE/>
        <w:autoSpaceDN/>
        <w:ind w:firstLine="420"/>
      </w:pPr>
      <w:r>
        <w:t>动力在室外的器具应安装图</w:t>
      </w:r>
      <w:r>
        <w:rPr>
          <w:rFonts w:hint="eastAsia"/>
        </w:rPr>
        <w:t>B.</w:t>
      </w:r>
      <w:r>
        <w:t>2</w:t>
      </w:r>
      <w:r>
        <w:rPr>
          <w:rFonts w:hint="eastAsia"/>
        </w:rPr>
        <w:t>所示的</w:t>
      </w:r>
      <w:r>
        <w:t>连接有消声器的标准负载，管道为内径与制造商规定的最大内径一致</w:t>
      </w:r>
      <w:r>
        <w:rPr>
          <w:rFonts w:hint="eastAsia"/>
        </w:rPr>
        <w:t>、内壁光滑的硬管。消声器应随器具提供，插入损失应满足表1的要求。如果制造商没有提供消声器，则器具不带消声器进行试验。</w:t>
      </w:r>
    </w:p>
    <w:p>
      <w:pPr>
        <w:pStyle w:val="67"/>
        <w:ind w:firstLine="420"/>
      </w:pPr>
      <w:r>
        <w:rPr>
          <w:rFonts w:hint="eastAsia"/>
        </w:rPr>
        <w:t>标准负载与器具连接时，可选用隔音连接件，以防止产生额外的结构声。当使用制造商随机附带的排风管进行连接时，排风管应适当拉展并固定，排风管过长的部分可裁剪。</w:t>
      </w:r>
    </w:p>
    <w:p>
      <w:pPr>
        <w:pStyle w:val="67"/>
        <w:ind w:firstLine="420"/>
      </w:pPr>
      <w:r>
        <w:rPr>
          <w:rFonts w:hint="eastAsia"/>
        </w:rPr>
        <w:t>为避免标准负载与器具之间产生作用力而影响实验室的声场，可用绳索将消声器固定在实验室的天花板上。</w:t>
      </w:r>
    </w:p>
    <w:p>
      <w:pPr>
        <w:pStyle w:val="67"/>
        <w:ind w:firstLine="420"/>
      </w:pPr>
      <w:r>
        <w:rPr>
          <w:rFonts w:hint="eastAsia"/>
        </w:rPr>
        <w:t>当被测器具有两个或多个用于连接管道的出风口可供选择时，吸油烟机应选择上侧的出风口，其他烹饪烟气吸排装置应按出厂时设置的出风口进行试验，否则应对所有出风口进行试验。</w:t>
      </w:r>
    </w:p>
    <w:p>
      <w:pPr>
        <w:pStyle w:val="67"/>
        <w:ind w:firstLine="420"/>
      </w:pPr>
      <w:r>
        <w:rPr>
          <w:rFonts w:hint="eastAsia"/>
        </w:rPr>
        <w:t>需要同时连接到多个管道上的器具，应根据所需要的管道数量来连接。</w:t>
      </w:r>
    </w:p>
    <w:p>
      <w:pPr>
        <w:pStyle w:val="94"/>
        <w:numPr>
          <w:ilvl w:val="0"/>
          <w:numId w:val="0"/>
        </w:numPr>
        <w:spacing w:before="156" w:after="156"/>
        <w:ind w:left="420"/>
      </w:pPr>
      <w:r>
        <mc:AlternateContent>
          <mc:Choice Requires="wps">
            <w:drawing>
              <wp:anchor distT="0" distB="0" distL="114300" distR="114300" simplePos="0" relativeHeight="251746304" behindDoc="0" locked="0" layoutInCell="1" allowOverlap="1">
                <wp:simplePos x="0" y="0"/>
                <wp:positionH relativeFrom="column">
                  <wp:posOffset>4866640</wp:posOffset>
                </wp:positionH>
                <wp:positionV relativeFrom="paragraph">
                  <wp:posOffset>3459480</wp:posOffset>
                </wp:positionV>
                <wp:extent cx="367665" cy="397510"/>
                <wp:effectExtent l="38100" t="38100" r="33020" b="22225"/>
                <wp:wrapNone/>
                <wp:docPr id="44" name="直接箭头连接符 44"/>
                <wp:cNvGraphicFramePr/>
                <a:graphic xmlns:a="http://schemas.openxmlformats.org/drawingml/2006/main">
                  <a:graphicData uri="http://schemas.microsoft.com/office/word/2010/wordprocessingShape">
                    <wps:wsp>
                      <wps:cNvCnPr/>
                      <wps:spPr bwMode="auto">
                        <a:xfrm flipH="1" flipV="1">
                          <a:off x="0" y="0"/>
                          <a:ext cx="367393" cy="397329"/>
                        </a:xfrm>
                        <a:prstGeom prst="straightConnector1">
                          <a:avLst/>
                        </a:prstGeom>
                        <a:noFill/>
                        <a:ln w="9525">
                          <a:solidFill>
                            <a:srgbClr val="000000"/>
                          </a:solidFill>
                          <a:round/>
                          <a:tailEnd type="triangle"/>
                        </a:ln>
                      </wps:spPr>
                      <wps:bodyPr/>
                    </wps:wsp>
                  </a:graphicData>
                </a:graphic>
              </wp:anchor>
            </w:drawing>
          </mc:Choice>
          <mc:Fallback>
            <w:pict>
              <v:shape id="_x0000_s1026" o:spid="_x0000_s1026" o:spt="32" type="#_x0000_t32" style="position:absolute;left:0pt;flip:x y;margin-left:383.2pt;margin-top:272.4pt;height:31.3pt;width:28.95pt;z-index:251746304;mso-width-relative:page;mso-height-relative:page;" filled="f" stroked="t" coordsize="21600,21600" o:gfxdata="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OpxLzaAAAACwEAAA8AAAAAAAAAAQAgAAAAIgAAAGRycy9kb3du&#10;cmV2LnhtbFBLAQIUABQAAAAIAIdO4kD25lB//QEAAMIDAAAOAAAAAAAAAAEAIAAAACkBAABkcnMv&#10;ZTJvRG9jLnhtbFBLBQYAAAAABgAGAFkBAACYBQAAAAA=&#10;">
                <v:fill on="f" focussize="0,0"/>
                <v:stroke color="#000000" joinstyle="round" endarrow="block"/>
                <v:imagedata o:title=""/>
                <o:lock v:ext="edit" aspectratio="f"/>
              </v:shape>
            </w:pict>
          </mc:Fallback>
        </mc:AlternateContent>
      </w:r>
      <w:r>
        <w:drawing>
          <wp:inline distT="0" distB="0" distL="0" distR="0">
            <wp:extent cx="5311775" cy="3731895"/>
            <wp:effectExtent l="0" t="0" r="3175"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09"/>
                    <a:stretch>
                      <a:fillRect/>
                    </a:stretch>
                  </pic:blipFill>
                  <pic:spPr>
                    <a:xfrm>
                      <a:off x="0" y="0"/>
                      <a:ext cx="5316414" cy="3735244"/>
                    </a:xfrm>
                    <a:prstGeom prst="rect">
                      <a:avLst/>
                    </a:prstGeom>
                  </pic:spPr>
                </pic:pic>
              </a:graphicData>
            </a:graphic>
          </wp:inline>
        </w:drawing>
      </w:r>
    </w:p>
    <w:p>
      <w:pPr>
        <w:pStyle w:val="94"/>
        <w:numPr>
          <w:ilvl w:val="0"/>
          <w:numId w:val="0"/>
        </w:numPr>
        <w:spacing w:before="0" w:beforeLines="0" w:after="0" w:afterLines="0"/>
        <w:ind w:left="420"/>
        <w:jc w:val="right"/>
        <w:rPr>
          <w:rFonts w:ascii="宋体" w:hAnsi="宋体" w:eastAsia="宋体"/>
          <w:sz w:val="18"/>
        </w:rPr>
      </w:pPr>
      <w:r>
        <w:rPr>
          <w:rFonts w:ascii="宋体" w:hAnsi="宋体" w:eastAsia="宋体"/>
          <w:sz w:val="18"/>
        </w:rPr>
        <w:t>被测器具出</w:t>
      </w:r>
    </w:p>
    <w:p>
      <w:pPr>
        <w:pStyle w:val="94"/>
        <w:numPr>
          <w:ilvl w:val="0"/>
          <w:numId w:val="0"/>
        </w:numPr>
        <w:spacing w:before="0" w:beforeLines="0" w:after="0" w:afterLines="0"/>
        <w:ind w:left="420"/>
        <w:jc w:val="right"/>
        <w:rPr>
          <w:rFonts w:ascii="宋体" w:hAnsi="宋体" w:eastAsia="宋体"/>
          <w:sz w:val="18"/>
        </w:rPr>
      </w:pPr>
      <w:r>
        <w:rPr>
          <w:rFonts w:ascii="宋体" w:hAnsi="宋体" w:eastAsia="宋体"/>
          <w:sz w:val="18"/>
        </w:rPr>
        <w:t>风口连接端</w:t>
      </w:r>
    </w:p>
    <w:p>
      <w:pPr>
        <w:pStyle w:val="209"/>
      </w:pPr>
      <w:r>
        <w:drawing>
          <wp:inline distT="0" distB="0" distL="0" distR="0">
            <wp:extent cx="5543550" cy="4648200"/>
            <wp:effectExtent l="0" t="0" r="0" b="0"/>
            <wp:docPr id="9" name="图片 9"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无标题"/>
                    <pic:cNvPicPr>
                      <a:picLocks noChangeAspect="1" noChangeArrowheads="1"/>
                    </pic:cNvPicPr>
                  </pic:nvPicPr>
                  <pic:blipFill>
                    <a:blip r:embed="rId110">
                      <a:extLst>
                        <a:ext uri="{28A0092B-C50C-407E-A947-70E740481C1C}">
                          <a14:useLocalDpi xmlns:a14="http://schemas.microsoft.com/office/drawing/2010/main" val="0"/>
                        </a:ext>
                      </a:extLst>
                    </a:blip>
                    <a:srcRect r="27058" b="8583"/>
                    <a:stretch>
                      <a:fillRect/>
                    </a:stretch>
                  </pic:blipFill>
                  <pic:spPr>
                    <a:xfrm>
                      <a:off x="0" y="0"/>
                      <a:ext cx="5543550" cy="4648200"/>
                    </a:xfrm>
                    <a:prstGeom prst="rect">
                      <a:avLst/>
                    </a:prstGeom>
                    <a:noFill/>
                    <a:ln>
                      <a:noFill/>
                    </a:ln>
                  </pic:spPr>
                </pic:pic>
              </a:graphicData>
            </a:graphic>
          </wp:inline>
        </w:drawing>
      </w:r>
    </w:p>
    <w:p>
      <w:pPr>
        <w:pStyle w:val="209"/>
      </w:pPr>
      <w:r>
        <w:drawing>
          <wp:inline distT="0" distB="0" distL="0" distR="0">
            <wp:extent cx="5543550" cy="4648200"/>
            <wp:effectExtent l="0" t="0" r="0" b="0"/>
            <wp:docPr id="10" name="图片 10"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无标题"/>
                    <pic:cNvPicPr>
                      <a:picLocks noChangeAspect="1" noChangeArrowheads="1"/>
                    </pic:cNvPicPr>
                  </pic:nvPicPr>
                  <pic:blipFill>
                    <a:blip r:embed="rId110">
                      <a:extLst>
                        <a:ext uri="{28A0092B-C50C-407E-A947-70E740481C1C}">
                          <a14:useLocalDpi xmlns:a14="http://schemas.microsoft.com/office/drawing/2010/main" val="0"/>
                        </a:ext>
                      </a:extLst>
                    </a:blip>
                    <a:srcRect r="27058" b="8583"/>
                    <a:stretch>
                      <a:fillRect/>
                    </a:stretch>
                  </pic:blipFill>
                  <pic:spPr>
                    <a:xfrm>
                      <a:off x="0" y="0"/>
                      <a:ext cx="5543550" cy="4648200"/>
                    </a:xfrm>
                    <a:prstGeom prst="rect">
                      <a:avLst/>
                    </a:prstGeom>
                    <a:noFill/>
                    <a:ln>
                      <a:noFill/>
                    </a:ln>
                  </pic:spPr>
                </pic:pic>
              </a:graphicData>
            </a:graphic>
          </wp:inline>
        </w:drawing>
      </w:r>
    </w:p>
    <w:p>
      <w:pPr>
        <w:pStyle w:val="209"/>
        <w:numPr>
          <w:ilvl w:val="0"/>
          <w:numId w:val="0"/>
        </w:numPr>
        <w:ind w:left="420"/>
        <w:jc w:val="left"/>
        <w:rPr>
          <w:rFonts w:ascii="Calibri" w:hAnsi="Calibri" w:eastAsia="宋体"/>
        </w:rPr>
      </w:pPr>
    </w:p>
    <w:p>
      <w:pPr>
        <w:pStyle w:val="94"/>
        <w:numPr>
          <w:ilvl w:val="0"/>
          <w:numId w:val="0"/>
        </w:numPr>
        <w:spacing w:before="156" w:after="156"/>
      </w:pPr>
      <w:r>
        <w:t>图</w:t>
      </w:r>
      <w:r>
        <w:rPr>
          <w:rFonts w:hint="eastAsia"/>
        </w:rPr>
        <w:t>B.</w:t>
      </w:r>
      <w:r>
        <w:t>2</w:t>
      </w:r>
      <w:r>
        <w:rPr>
          <w:rFonts w:hint="eastAsia"/>
        </w:rPr>
        <w:t xml:space="preserve">  带有外部风机的器具的标准负载</w:t>
      </w:r>
    </w:p>
    <w:p>
      <w:pPr>
        <w:pStyle w:val="90"/>
        <w:spacing w:before="156" w:after="156"/>
      </w:pPr>
      <w:r>
        <w:rPr>
          <w:rFonts w:hint="eastAsia"/>
        </w:rPr>
        <w:t>器具的定位与安装</w:t>
      </w:r>
    </w:p>
    <w:p>
      <w:pPr>
        <w:pStyle w:val="67"/>
        <w:autoSpaceDE/>
        <w:autoSpaceDN/>
        <w:ind w:firstLine="420"/>
      </w:pPr>
      <w:r>
        <w:rPr>
          <w:rFonts w:hint="eastAsia"/>
        </w:rPr>
        <w:t>壁挂式器具安装时，器具背面和垂直壁面之间的距离为</w:t>
      </w:r>
      <w:r>
        <w:rPr>
          <w:i/>
        </w:rPr>
        <w:t>D</w:t>
      </w:r>
      <w:r>
        <w:t>=10 mm</w:t>
      </w:r>
      <w:r>
        <w:rPr>
          <w:rFonts w:hint="eastAsia"/>
        </w:rPr>
        <w:t>±</w:t>
      </w:r>
      <w:r>
        <w:t>5 mm</w:t>
      </w:r>
      <w:r>
        <w:rPr>
          <w:rFonts w:hint="eastAsia"/>
        </w:rPr>
        <w:t>，并用图B.3所示的标准支撑装置支撑在距离自由场环境中的水平反射面</w:t>
      </w:r>
      <w:r>
        <w:t>0.6 m</w:t>
      </w:r>
      <w:r>
        <w:rPr>
          <w:rFonts w:hint="eastAsia"/>
        </w:rPr>
        <w:t>处。垂直壁面的最小尺寸应至少等于被测器具在墙面的投影尺寸。壁面的声学吸收系数应小于</w:t>
      </w:r>
      <w:r>
        <w:t>0.06</w:t>
      </w:r>
      <w:r>
        <w:rPr>
          <w:rFonts w:hint="eastAsia"/>
        </w:rPr>
        <w:t>。</w:t>
      </w:r>
    </w:p>
    <w:p>
      <w:pPr>
        <w:pStyle w:val="67"/>
        <w:autoSpaceDE/>
        <w:autoSpaceDN/>
        <w:ind w:firstLine="360"/>
        <w:jc w:val="right"/>
        <w:rPr>
          <w:sz w:val="18"/>
          <w:szCs w:val="18"/>
        </w:rPr>
      </w:pPr>
      <w:r>
        <w:rPr>
          <w:sz w:val="18"/>
          <w:szCs w:val="18"/>
        </w:rPr>
        <w:t>单位为毫米</w:t>
      </w:r>
    </w:p>
    <w:p>
      <w:pPr>
        <w:pStyle w:val="67"/>
        <w:ind w:firstLine="420"/>
        <w:jc w:val="center"/>
      </w:pPr>
      <w:r>
        <w:drawing>
          <wp:inline distT="0" distB="0" distL="0" distR="0">
            <wp:extent cx="4514850" cy="2311400"/>
            <wp:effectExtent l="0" t="0" r="0" b="0"/>
            <wp:docPr id="19" name="图片 19"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无标题"/>
                    <pic:cNvPicPr>
                      <a:picLocks noChangeAspect="1" noChangeArrowheads="1"/>
                    </pic:cNvPicPr>
                  </pic:nvPicPr>
                  <pic:blipFill>
                    <a:blip r:embed="rId111">
                      <a:extLst>
                        <a:ext uri="{28A0092B-C50C-407E-A947-70E740481C1C}">
                          <a14:useLocalDpi xmlns:a14="http://schemas.microsoft.com/office/drawing/2010/main" val="0"/>
                        </a:ext>
                      </a:extLst>
                    </a:blip>
                    <a:srcRect r="25169" b="31885"/>
                    <a:stretch>
                      <a:fillRect/>
                    </a:stretch>
                  </pic:blipFill>
                  <pic:spPr>
                    <a:xfrm>
                      <a:off x="0" y="0"/>
                      <a:ext cx="4514850" cy="2311400"/>
                    </a:xfrm>
                    <a:prstGeom prst="rect">
                      <a:avLst/>
                    </a:prstGeom>
                    <a:noFill/>
                    <a:ln>
                      <a:noFill/>
                    </a:ln>
                  </pic:spPr>
                </pic:pic>
              </a:graphicData>
            </a:graphic>
          </wp:inline>
        </w:drawing>
      </w:r>
    </w:p>
    <w:p>
      <w:pPr>
        <w:pStyle w:val="94"/>
        <w:numPr>
          <w:ilvl w:val="0"/>
          <w:numId w:val="0"/>
        </w:numPr>
        <w:spacing w:before="156" w:after="156"/>
        <w:ind w:left="420"/>
      </w:pPr>
      <w:r>
        <w:t>图</w:t>
      </w:r>
      <w:r>
        <w:rPr>
          <w:rFonts w:hint="eastAsia"/>
        </w:rPr>
        <w:t xml:space="preserve">B.3  </w:t>
      </w:r>
      <w:r>
        <w:t>标准支撑装置示例图</w:t>
      </w:r>
    </w:p>
    <w:p>
      <w:pPr>
        <w:pStyle w:val="67"/>
        <w:autoSpaceDE/>
        <w:autoSpaceDN/>
        <w:ind w:firstLine="420"/>
      </w:pPr>
    </w:p>
    <w:p>
      <w:pPr>
        <w:pStyle w:val="67"/>
        <w:autoSpaceDE/>
        <w:autoSpaceDN/>
        <w:ind w:firstLine="420"/>
      </w:pPr>
      <w:r>
        <w:rPr>
          <w:rFonts w:hint="eastAsia"/>
        </w:rPr>
        <w:t>其他烹饪烟气吸排装置应根据制造商的安装说明嵌装在GB/T 4214.1—2017附录B所规定的一个合适的测试柜内。</w:t>
      </w:r>
    </w:p>
    <w:p>
      <w:pPr>
        <w:pStyle w:val="67"/>
        <w:autoSpaceDE/>
        <w:autoSpaceDN/>
        <w:ind w:firstLine="420"/>
      </w:pPr>
      <w:r>
        <w:rPr>
          <w:rFonts w:hint="eastAsia"/>
        </w:rPr>
        <w:t>对于嵌入式安装的进风口和出风口相互分离的循环式吸油烟机应根据制造商的安装说明嵌装在一个合适的测试柜内，该测试柜材质与厚度应与GB/T 4214.1—2017附录B第1部分中规定的相同。如有必要，测试柜的底部应该有一个与其同材质同厚度的基架。</w:t>
      </w:r>
    </w:p>
    <w:p>
      <w:pPr>
        <w:pStyle w:val="67"/>
        <w:autoSpaceDE/>
        <w:autoSpaceDN/>
        <w:ind w:firstLine="420"/>
      </w:pPr>
      <w:r>
        <w:rPr>
          <w:rFonts w:hint="eastAsia"/>
        </w:rPr>
        <w:t>如果制造商的安装说明中没有规定进风口和出风口之间的距离，那么进风口和出风口外形之间的距离应至少为0.3</w:t>
      </w:r>
      <w:r>
        <w:t> </w:t>
      </w:r>
      <w:r>
        <w:rPr>
          <w:rFonts w:hint="eastAsia"/>
        </w:rPr>
        <w:t>m。除非另有规定，出风口的开口应尽可能调整到朝地板方向。</w:t>
      </w:r>
    </w:p>
    <w:p>
      <w:pPr>
        <w:pStyle w:val="67"/>
        <w:autoSpaceDE/>
        <w:autoSpaceDN/>
        <w:ind w:firstLine="420"/>
      </w:pPr>
      <w:r>
        <w:rPr>
          <w:rFonts w:hint="eastAsia"/>
        </w:rPr>
        <w:t>应注意避免支撑装置、测试柜、进风口、出风口以及二者之间的连接管道之间的任何干扰。也应避免支撑装置和器具之间产生约束。</w:t>
      </w:r>
    </w:p>
    <w:p>
      <w:pPr>
        <w:pStyle w:val="67"/>
        <w:autoSpaceDE/>
        <w:autoSpaceDN/>
        <w:ind w:firstLine="420"/>
      </w:pPr>
      <w:r>
        <w:t>不便于放置在标准支撑装置上的器具，如</w:t>
      </w:r>
      <w:r>
        <w:rPr>
          <w:rFonts w:hint="eastAsia"/>
        </w:rPr>
        <w:t>侧吸式吸油烟机，其固定方式可参考图B.</w:t>
      </w:r>
      <w:r>
        <w:t>4</w:t>
      </w:r>
      <w:r>
        <w:rPr>
          <w:rFonts w:hint="eastAsia"/>
        </w:rPr>
        <w:t>。</w:t>
      </w:r>
    </w:p>
    <w:p>
      <w:pPr>
        <w:pStyle w:val="67"/>
        <w:autoSpaceDE/>
        <w:autoSpaceDN/>
        <w:ind w:firstLine="360"/>
        <w:jc w:val="right"/>
        <w:rPr>
          <w:sz w:val="18"/>
        </w:rPr>
      </w:pPr>
      <w:r>
        <w:rPr>
          <w:sz w:val="18"/>
        </w:rPr>
        <w:t>单位为毫米（mm）</w:t>
      </w:r>
    </w:p>
    <w:p>
      <w:pPr>
        <w:pStyle w:val="67"/>
        <w:ind w:firstLine="420"/>
        <w:jc w:val="center"/>
      </w:pPr>
      <w:r>
        <w:drawing>
          <wp:inline distT="0" distB="0" distL="0" distR="0">
            <wp:extent cx="2487295" cy="2879090"/>
            <wp:effectExtent l="0" t="0" r="825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12">
                      <a:extLst>
                        <a:ext uri="{28A0092B-C50C-407E-A947-70E740481C1C}">
                          <a14:useLocalDpi xmlns:a14="http://schemas.microsoft.com/office/drawing/2010/main" val="0"/>
                        </a:ext>
                      </a:extLst>
                    </a:blip>
                    <a:srcRect t="8478" r="31662"/>
                    <a:stretch>
                      <a:fillRect/>
                    </a:stretch>
                  </pic:blipFill>
                  <pic:spPr>
                    <a:xfrm>
                      <a:off x="0" y="0"/>
                      <a:ext cx="2487386" cy="2879090"/>
                    </a:xfrm>
                    <a:prstGeom prst="rect">
                      <a:avLst/>
                    </a:prstGeom>
                    <a:noFill/>
                    <a:ln>
                      <a:noFill/>
                    </a:ln>
                  </pic:spPr>
                </pic:pic>
              </a:graphicData>
            </a:graphic>
          </wp:inline>
        </w:drawing>
      </w:r>
    </w:p>
    <w:p>
      <w:pPr>
        <w:pStyle w:val="94"/>
        <w:numPr>
          <w:ilvl w:val="0"/>
          <w:numId w:val="0"/>
        </w:numPr>
        <w:spacing w:before="156" w:after="156"/>
      </w:pPr>
      <w:r>
        <w:rPr>
          <w:rFonts w:hint="eastAsia"/>
        </w:rPr>
        <w:t>图B.</w:t>
      </w:r>
      <w:r>
        <w:t>4</w:t>
      </w:r>
      <w:r>
        <w:rPr>
          <w:rFonts w:hint="eastAsia"/>
        </w:rPr>
        <w:t xml:space="preserve">  侧吸式吸油烟机固定方式</w:t>
      </w:r>
    </w:p>
    <w:p>
      <w:pPr>
        <w:pStyle w:val="67"/>
        <w:ind w:firstLine="420"/>
      </w:pPr>
      <w:r>
        <w:rPr>
          <w:rFonts w:hint="eastAsia"/>
        </w:rPr>
        <w:t>带有外部风机的吸油烟机的进气端装置应按照本节的说明定位和安装。外部风机应选择其风机外壳及出气口发射的噪声不影响试验结果的方式定位安装。</w:t>
      </w:r>
    </w:p>
    <w:p>
      <w:pPr>
        <w:pStyle w:val="89"/>
        <w:spacing w:before="156" w:after="156"/>
      </w:pPr>
      <w:bookmarkStart w:id="193" w:name="_Toc65063249"/>
      <w:r>
        <w:rPr>
          <w:rFonts w:hint="eastAsia"/>
        </w:rPr>
        <w:t>声压级噪声的测量</w:t>
      </w:r>
      <w:bookmarkEnd w:id="193"/>
    </w:p>
    <w:p>
      <w:pPr>
        <w:pStyle w:val="67"/>
        <w:autoSpaceDE/>
        <w:autoSpaceDN/>
        <w:ind w:firstLine="420"/>
      </w:pPr>
      <w:r>
        <w:rPr>
          <w:rFonts w:hint="eastAsia"/>
        </w:rPr>
        <w:t>对于所有的器具测量表面为带有六个测点的矩形六面体，见GB/T 3767—2016的7.2.4和GB/T 4214.1的图2。可按照GB/T 3767—2016的8.1.2增加测点，也可按照GB/T 3767—2016的8.1.2减少测点。</w:t>
      </w:r>
    </w:p>
    <w:p>
      <w:pPr>
        <w:pStyle w:val="67"/>
        <w:autoSpaceDE/>
        <w:autoSpaceDN/>
        <w:ind w:firstLine="420"/>
      </w:pPr>
      <w:r>
        <w:rPr>
          <w:rFonts w:hint="eastAsia"/>
        </w:rPr>
        <w:t>在定义器具的基准体时，对于其他烹饪烟气吸排装置，吸风口必须延伸。</w:t>
      </w:r>
    </w:p>
    <w:p>
      <w:pPr>
        <w:pStyle w:val="67"/>
        <w:autoSpaceDE/>
        <w:autoSpaceDN/>
        <w:ind w:firstLine="420"/>
      </w:pPr>
      <w:r>
        <w:rPr>
          <w:rFonts w:hint="eastAsia"/>
        </w:rPr>
        <w:t>在定义器具的基准体时，应考虑正常运行状态下运动机构的延伸，不应考虑连接在排气模式下运行的器具的标准负载。</w:t>
      </w:r>
    </w:p>
    <w:p>
      <w:pPr>
        <w:pStyle w:val="67"/>
        <w:autoSpaceDE/>
        <w:autoSpaceDN/>
        <w:ind w:firstLine="420"/>
      </w:pPr>
      <w:r>
        <w:rPr>
          <w:rFonts w:hint="eastAsia"/>
        </w:rPr>
        <w:t>在定义器具的基准体时，对于动力在室内的分体式器具，应包含动力在内的全部装置及必要的连接件，但不必包含标准负载。</w:t>
      </w:r>
    </w:p>
    <w:p>
      <w:pPr>
        <w:pStyle w:val="190"/>
        <w:autoSpaceDE/>
        <w:autoSpaceDN/>
      </w:pPr>
      <w:r>
        <w:rPr>
          <w:rFonts w:hint="eastAsia" w:hAnsi="宋体"/>
        </w:rPr>
        <w:t>器具</w:t>
      </w:r>
      <w:r>
        <w:rPr>
          <w:rFonts w:hint="eastAsia"/>
        </w:rPr>
        <w:t>正面朝向</w:t>
      </w:r>
      <w:r>
        <w:t>x</w:t>
      </w:r>
      <w:r>
        <w:rPr>
          <w:rFonts w:hint="eastAsia"/>
        </w:rPr>
        <w:t>轴方向。测量距离</w:t>
      </w:r>
      <w:r>
        <w:rPr>
          <w:i/>
        </w:rPr>
        <w:t>d</w:t>
      </w:r>
      <w:r>
        <w:rPr>
          <w:rFonts w:hint="eastAsia"/>
        </w:rPr>
        <w:t>优先采用</w:t>
      </w:r>
      <w:r>
        <w:t>1 m</w:t>
      </w:r>
      <w:r>
        <w:rPr>
          <w:rFonts w:hint="eastAsia"/>
        </w:rPr>
        <w:t>。</w:t>
      </w:r>
    </w:p>
    <w:p>
      <w:pPr>
        <w:pStyle w:val="67"/>
        <w:autoSpaceDE/>
        <w:autoSpaceDN/>
        <w:ind w:firstLine="420"/>
      </w:pPr>
      <w:r>
        <w:rPr>
          <w:rFonts w:hint="eastAsia"/>
        </w:rPr>
        <w:t>器具应在最高转速档下运行时进行</w:t>
      </w:r>
      <w:r>
        <w:t>A</w:t>
      </w:r>
      <w:r>
        <w:rPr>
          <w:rFonts w:hint="eastAsia"/>
        </w:rPr>
        <w:t>计权声压级噪声采集，观测期不小于30</w:t>
      </w:r>
      <w:r>
        <w:t> </w:t>
      </w:r>
      <w:r>
        <w:rPr>
          <w:rFonts w:hint="eastAsia"/>
        </w:rPr>
        <w:t>s，声级可取观测期间极大和极小声级的平均值。</w:t>
      </w:r>
    </w:p>
    <w:p>
      <w:pPr>
        <w:pStyle w:val="67"/>
        <w:autoSpaceDE/>
        <w:autoSpaceDN/>
        <w:ind w:firstLine="420"/>
      </w:pPr>
      <w:r>
        <w:t>短时工作升速档（如有）下的测试应在最高转速档测试完毕后进行，</w:t>
      </w:r>
      <w:r>
        <w:rPr>
          <w:rFonts w:hint="eastAsia"/>
        </w:rPr>
        <w:t>观测期不小于30</w:t>
      </w:r>
      <w:r>
        <w:t> </w:t>
      </w:r>
      <w:r>
        <w:rPr>
          <w:rFonts w:hint="eastAsia"/>
        </w:rPr>
        <w:t>s，声级可取观测期间极大和极小声级的平均值。</w:t>
      </w:r>
    </w:p>
    <w:p>
      <w:pPr>
        <w:pStyle w:val="89"/>
        <w:spacing w:before="156" w:after="156"/>
      </w:pPr>
      <w:bookmarkStart w:id="194" w:name="_Toc65063250"/>
      <w:r>
        <w:rPr>
          <w:rFonts w:hint="eastAsia"/>
        </w:rPr>
        <w:t>声压级和声功率级的计算</w:t>
      </w:r>
      <w:bookmarkEnd w:id="194"/>
    </w:p>
    <w:p>
      <w:pPr>
        <w:pStyle w:val="67"/>
        <w:autoSpaceDE/>
        <w:autoSpaceDN/>
        <w:ind w:firstLine="420"/>
      </w:pPr>
      <w:r>
        <w:rPr>
          <w:rFonts w:hint="eastAsia"/>
        </w:rPr>
        <w:t>在反射面上方的近似自由场中测量时，应遵循</w:t>
      </w:r>
      <w:r>
        <w:t>GB/T 3767—2016中第</w:t>
      </w:r>
      <w:r>
        <w:rPr>
          <w:rFonts w:hint="eastAsia"/>
        </w:rPr>
        <w:t>8章的规定。由外壳或外部风机的出气口发射的噪声应算作背景噪声。</w:t>
      </w:r>
    </w:p>
    <w:p>
      <w:pPr>
        <w:pStyle w:val="67"/>
        <w:autoSpaceDE/>
        <w:autoSpaceDN/>
        <w:ind w:firstLine="420"/>
      </w:pPr>
      <w:r>
        <w:rPr>
          <w:rFonts w:hint="eastAsia"/>
        </w:rPr>
        <w:t>背景噪声级和试验环境的修正应遵循GB/T 4124.1—2017中第8章的规定。</w:t>
      </w:r>
    </w:p>
    <w:p>
      <w:pPr>
        <w:pStyle w:val="67"/>
        <w:autoSpaceDE/>
        <w:autoSpaceDN/>
        <w:ind w:firstLine="420"/>
      </w:pPr>
      <w:r>
        <w:rPr>
          <w:rFonts w:hint="eastAsia"/>
        </w:rPr>
        <w:t>对A计权声压级或被测频带声压级，其各测点声压级平均值由所测得的声压级数据按式（B.1）计算：</w:t>
      </w:r>
    </w:p>
    <w:p>
      <w:pPr>
        <w:pStyle w:val="124"/>
      </w:pPr>
      <w:r>
        <w:tab/>
      </w:r>
      <m:oMath>
        <m:r>
          <m:rPr>
            <m:sty m:val="p"/>
          </m:rPr>
          <w:rPr>
            <w:rFonts w:ascii="Cambria Math" w:hAnsi="Cambria Math"/>
          </w:rPr>
          <m:t xml:space="preserve"> </m:t>
        </m:r>
        <m:r>
          <m:rPr>
            <m:sty m:val="p"/>
          </m:rPr>
          <w:rPr>
            <w:rFonts w:ascii="Cambria Math" w:hAnsi="Cambria Math"/>
            <w:position w:val="-30"/>
          </w:rPr>
          <w:object>
            <v:shape id="_x0000_i1057" o:spt="75" type="#_x0000_t75" style="height:36.75pt;width:218.3pt;" o:ole="t" filled="f" o:preferrelative="t" stroked="f" coordsize="21600,21600">
              <v:path/>
              <v:fill on="f" focussize="0,0"/>
              <v:stroke on="f" joinstyle="miter"/>
              <v:imagedata r:id="rId114" o:title=""/>
              <o:lock v:ext="edit" aspectratio="t"/>
              <w10:wrap type="none"/>
              <w10:anchorlock/>
            </v:shape>
            <o:OLEObject Type="Embed" ProgID="Equation.DSMT4" ShapeID="_x0000_i1057" DrawAspect="Content" ObjectID="_1468075757" r:id="rId113">
              <o:LockedField>false</o:LockedField>
            </o:OLEObject>
          </w:object>
        </m:r>
      </m:oMath>
      <w:r>
        <w:rPr>
          <w:rFonts w:ascii="微软雅黑" w:hAnsi="微软雅黑" w:eastAsia="微软雅黑"/>
        </w:rPr>
        <w:tab/>
      </w:r>
      <w:r>
        <w:t>(B.</w:t>
      </w:r>
      <w:r>
        <w:fldChar w:fldCharType="begin"/>
      </w:r>
      <w:r>
        <w:instrText xml:space="preserve"> seq fulu_equation_132568162356965836 </w:instrText>
      </w:r>
      <w:r>
        <w:fldChar w:fldCharType="separate"/>
      </w:r>
      <w:r>
        <w:t>1</w:t>
      </w:r>
      <w:r>
        <w:fldChar w:fldCharType="end"/>
      </w:r>
      <w:r>
        <w:t>)</w:t>
      </w:r>
    </w:p>
    <w:p>
      <w:pPr>
        <w:pStyle w:val="66"/>
        <w:ind w:firstLine="420"/>
      </w:pPr>
      <w:r>
        <w:rPr>
          <w:rFonts w:hint="eastAsia"/>
        </w:rPr>
        <w:t>式中：</w:t>
      </w:r>
    </w:p>
    <w:p>
      <w:pPr>
        <w:pStyle w:val="67"/>
        <w:spacing w:line="320" w:lineRule="exact"/>
        <w:ind w:firstLine="420"/>
      </w:pPr>
      <w:r>
        <w:rPr>
          <w:position w:val="-8"/>
        </w:rPr>
        <w:object>
          <v:shape id="_x0000_i1058" o:spt="75" type="#_x0000_t75" style="height:18pt;width:20.25pt;" o:ole="t" filled="f" o:preferrelative="t" stroked="f" coordsize="21600,21600">
            <v:path/>
            <v:fill on="f" focussize="0,0"/>
            <v:stroke on="f" joinstyle="miter"/>
            <v:imagedata r:id="rId116" o:title=""/>
            <o:lock v:ext="edit" aspectratio="t"/>
            <w10:wrap type="none"/>
            <w10:anchorlock/>
          </v:shape>
          <o:OLEObject Type="Embed" ProgID="Equation.DSMT4" ShapeID="_x0000_i1058" DrawAspect="Content" ObjectID="_1468075758" r:id="rId115">
            <o:LockedField>false</o:LockedField>
          </o:OLEObject>
        </w:object>
      </w:r>
      <w:r>
        <w:t xml:space="preserve"> </w:t>
      </w:r>
      <w:r>
        <w:rPr>
          <w:rFonts w:hint="eastAsia"/>
        </w:rPr>
        <w:t>——</w:t>
      </w:r>
      <w:r>
        <w:t>各测点或测量表面的平均声压级，单位为分贝（</w:t>
      </w:r>
      <w:r>
        <w:rPr>
          <w:rFonts w:hint="eastAsia"/>
        </w:rPr>
        <w:t>dB</w:t>
      </w:r>
      <w:r>
        <w:t>）；</w:t>
      </w:r>
    </w:p>
    <w:p>
      <w:pPr>
        <w:pStyle w:val="67"/>
        <w:spacing w:line="320" w:lineRule="exact"/>
        <w:ind w:firstLine="420"/>
      </w:pPr>
      <w:r>
        <w:rPr>
          <w:position w:val="-14"/>
        </w:rPr>
        <w:object>
          <v:shape id="_x0000_i1059" o:spt="75" type="#_x0000_t75" style="height:18.75pt;width:17.25pt;" o:ole="t" filled="f" o:preferrelative="t" stroked="f" coordsize="21600,21600">
            <v:path/>
            <v:fill on="f" focussize="0,0"/>
            <v:stroke on="f" joinstyle="miter"/>
            <v:imagedata r:id="rId118" o:title=""/>
            <o:lock v:ext="edit" aspectratio="t"/>
            <w10:wrap type="none"/>
            <w10:anchorlock/>
          </v:shape>
          <o:OLEObject Type="Embed" ProgID="Equation.DSMT4" ShapeID="_x0000_i1059" DrawAspect="Content" ObjectID="_1468075759" r:id="rId117">
            <o:LockedField>false</o:LockedField>
          </o:OLEObject>
        </w:object>
      </w:r>
      <w:r>
        <w:t xml:space="preserve"> </w:t>
      </w:r>
      <w:r>
        <w:rPr>
          <w:rFonts w:hint="eastAsia"/>
        </w:rPr>
        <w:t>——从第</w:t>
      </w:r>
      <w:r>
        <w:rPr>
          <w:position w:val="-6"/>
        </w:rPr>
        <w:object>
          <v:shape id="_x0000_i1060" o:spt="75" type="#_x0000_t75" style="height:12.75pt;width:6.75pt;" o:ole="t" filled="f" o:preferrelative="t" stroked="f" coordsize="21600,21600">
            <v:path/>
            <v:fill on="f" focussize="0,0"/>
            <v:stroke on="f" joinstyle="miter"/>
            <v:imagedata r:id="rId120" o:title=""/>
            <o:lock v:ext="edit" aspectratio="t"/>
            <w10:wrap type="none"/>
            <w10:anchorlock/>
          </v:shape>
          <o:OLEObject Type="Embed" ProgID="Equation.DSMT4" ShapeID="_x0000_i1060" DrawAspect="Content" ObjectID="_1468075760" r:id="rId119">
            <o:LockedField>false</o:LockedField>
          </o:OLEObject>
        </w:object>
      </w:r>
      <w:r>
        <w:t>个测点测得的声压级，单位为分贝（</w:t>
      </w:r>
      <w:r>
        <w:rPr>
          <w:rFonts w:hint="eastAsia"/>
        </w:rPr>
        <w:t>dB</w:t>
      </w:r>
      <w:r>
        <w:t>）；</w:t>
      </w:r>
    </w:p>
    <w:p>
      <w:pPr>
        <w:pStyle w:val="67"/>
        <w:spacing w:line="320" w:lineRule="exact"/>
        <w:ind w:firstLine="420"/>
      </w:pPr>
      <w:r>
        <w:rPr>
          <w:position w:val="-6"/>
        </w:rPr>
        <w:object>
          <v:shape id="_x0000_i1061" o:spt="75" type="#_x0000_t75" style="height:12.75pt;width:14.25pt;" o:ole="t" filled="f" o:preferrelative="t" stroked="f" coordsize="21600,21600">
            <v:path/>
            <v:fill on="f" focussize="0,0"/>
            <v:stroke on="f" joinstyle="miter"/>
            <v:imagedata r:id="rId122" o:title=""/>
            <o:lock v:ext="edit" aspectratio="t"/>
            <w10:wrap type="none"/>
            <w10:anchorlock/>
          </v:shape>
          <o:OLEObject Type="Embed" ProgID="Equation.DSMT4" ShapeID="_x0000_i1061" DrawAspect="Content" ObjectID="_1468075761" r:id="rId121">
            <o:LockedField>false</o:LockedField>
          </o:OLEObject>
        </w:object>
      </w:r>
      <w:r>
        <w:t xml:space="preserve"> </w:t>
      </w:r>
      <w:r>
        <w:rPr>
          <w:rFonts w:hint="eastAsia"/>
        </w:rPr>
        <w:t>——测点数。</w:t>
      </w:r>
    </w:p>
    <w:p>
      <w:pPr>
        <w:pStyle w:val="67"/>
        <w:spacing w:line="320" w:lineRule="exact"/>
        <w:ind w:firstLine="420"/>
      </w:pPr>
      <w:r>
        <w:t>被测器具声功率级</w:t>
      </w:r>
      <w:r>
        <w:rPr>
          <w:position w:val="-12"/>
        </w:rPr>
        <w:object>
          <v:shape id="_x0000_i1062" o:spt="75" type="#_x0000_t75" style="height:18pt;width:15.75pt;" o:ole="t" filled="f" o:preferrelative="t" stroked="f" coordsize="21600,21600">
            <v:path/>
            <v:fill on="f" focussize="0,0"/>
            <v:stroke on="f" joinstyle="miter"/>
            <v:imagedata r:id="rId124" o:title=""/>
            <o:lock v:ext="edit" aspectratio="t"/>
            <w10:wrap type="none"/>
            <w10:anchorlock/>
          </v:shape>
          <o:OLEObject Type="Embed" ProgID="Equation.DSMT4" ShapeID="_x0000_i1062" DrawAspect="Content" ObjectID="_1468075762" r:id="rId123">
            <o:LockedField>false</o:LockedField>
          </o:OLEObject>
        </w:object>
      </w:r>
      <w:r>
        <w:t xml:space="preserve"> 由测定的测量表面声压级，以及测量表面的面积计算得到，见式B.2：</w:t>
      </w:r>
    </w:p>
    <w:p>
      <w:pPr>
        <w:pStyle w:val="124"/>
      </w:pPr>
      <w:r>
        <w:tab/>
      </w:r>
      <m:oMath>
        <m:r>
          <m:rPr>
            <m:sty m:val="p"/>
          </m:rPr>
          <w:rPr>
            <w:rFonts w:ascii="Cambria Math" w:hAnsi="Cambria Math"/>
          </w:rPr>
          <m:t xml:space="preserve"> </m:t>
        </m:r>
        <m:r>
          <m:rPr>
            <m:sty m:val="p"/>
          </m:rPr>
          <w:rPr>
            <w:rFonts w:ascii="Cambria Math" w:hAnsi="Cambria Math"/>
            <w:position w:val="-32"/>
          </w:rPr>
          <w:object>
            <v:shape id="_x0000_i1063" o:spt="75" type="#_x0000_t75" style="height:39pt;width:111.8pt;" o:ole="t" filled="f" o:preferrelative="t" stroked="f" coordsize="21600,21600">
              <v:path/>
              <v:fill on="f" focussize="0,0"/>
              <v:stroke on="f" joinstyle="miter"/>
              <v:imagedata r:id="rId126" o:title=""/>
              <o:lock v:ext="edit" aspectratio="t"/>
              <w10:wrap type="none"/>
              <w10:anchorlock/>
            </v:shape>
            <o:OLEObject Type="Embed" ProgID="Equation.DSMT4" ShapeID="_x0000_i1063" DrawAspect="Content" ObjectID="_1468075763" r:id="rId125">
              <o:LockedField>false</o:LockedField>
            </o:OLEObject>
          </w:object>
        </m:r>
      </m:oMath>
      <w:r>
        <w:rPr>
          <w:rFonts w:hint="eastAsia"/>
        </w:rPr>
        <w:t xml:space="preserve">  </w:t>
      </w:r>
      <w:r>
        <w:t>（基准量</w:t>
      </w:r>
      <w:r>
        <w:rPr>
          <w:rFonts w:hint="eastAsia"/>
        </w:rPr>
        <w:t>1</w:t>
      </w:r>
      <w:r>
        <w:t xml:space="preserve"> </w:t>
      </w:r>
      <w:r>
        <w:rPr>
          <w:rFonts w:ascii="Times New Roman" w:hAnsi="Times New Roman"/>
        </w:rPr>
        <w:t>pW</w:t>
      </w:r>
      <w:r>
        <w:t>）</w:t>
      </w:r>
      <w:r>
        <w:rPr>
          <w:rFonts w:ascii="微软雅黑" w:hAnsi="微软雅黑" w:eastAsia="微软雅黑"/>
        </w:rPr>
        <w:tab/>
      </w:r>
      <w:r>
        <w:t>(B.</w:t>
      </w:r>
      <w:r>
        <w:fldChar w:fldCharType="begin"/>
      </w:r>
      <w:r>
        <w:instrText xml:space="preserve">  seq fulu_equation_132568162356965836  </w:instrText>
      </w:r>
      <w:r>
        <w:fldChar w:fldCharType="separate"/>
      </w:r>
      <w:r>
        <w:t>2</w:t>
      </w:r>
      <w:r>
        <w:fldChar w:fldCharType="end"/>
      </w:r>
      <w:r>
        <w:t>)</w:t>
      </w:r>
    </w:p>
    <w:p>
      <w:pPr>
        <w:pStyle w:val="66"/>
        <w:ind w:firstLine="420"/>
      </w:pPr>
      <w:r>
        <w:rPr>
          <w:rFonts w:hint="eastAsia"/>
        </w:rPr>
        <w:t>式中：</w:t>
      </w:r>
    </w:p>
    <w:p>
      <w:pPr>
        <w:pStyle w:val="67"/>
        <w:spacing w:line="320" w:lineRule="exact"/>
        <w:ind w:firstLine="420"/>
      </w:pPr>
      <w:r>
        <w:rPr>
          <w:position w:val="-12"/>
        </w:rPr>
        <w:object>
          <v:shape id="_x0000_i1064" o:spt="75" type="#_x0000_t75" style="height:18pt;width:18.75pt;" o:ole="t" filled="f" o:preferrelative="t" stroked="f" coordsize="21600,21600">
            <v:path/>
            <v:fill on="f" focussize="0,0"/>
            <v:stroke on="f" joinstyle="miter"/>
            <v:imagedata r:id="rId128" o:title=""/>
            <o:lock v:ext="edit" aspectratio="t"/>
            <w10:wrap type="none"/>
            <w10:anchorlock/>
          </v:shape>
          <o:OLEObject Type="Embed" ProgID="Equation.DSMT4" ShapeID="_x0000_i1064" DrawAspect="Content" ObjectID="_1468075764" r:id="rId127">
            <o:LockedField>false</o:LockedField>
          </o:OLEObject>
        </w:object>
      </w:r>
      <w:r>
        <w:t xml:space="preserve"> ——</w:t>
      </w:r>
      <w:r>
        <w:rPr>
          <w:rFonts w:hint="eastAsia"/>
        </w:rPr>
        <w:t>被测器具的声功率级噪声，单位为分贝</w:t>
      </w:r>
      <w:r>
        <w:t>（</w:t>
      </w:r>
      <w:r>
        <w:rPr>
          <w:rFonts w:hint="eastAsia"/>
        </w:rPr>
        <w:t>dB</w:t>
      </w:r>
      <w:r>
        <w:t>）；</w:t>
      </w:r>
    </w:p>
    <w:p>
      <w:pPr>
        <w:pStyle w:val="67"/>
        <w:autoSpaceDE/>
        <w:autoSpaceDN/>
        <w:spacing w:line="320" w:lineRule="exact"/>
        <w:ind w:firstLine="420"/>
      </w:pPr>
      <w:r>
        <w:rPr>
          <w:position w:val="-14"/>
        </w:rPr>
        <w:object>
          <v:shape id="_x0000_i1065" o:spt="75" type="#_x0000_t75" style="height:18.75pt;width:21.75pt;" o:ole="t" filled="f" o:preferrelative="t" stroked="f" coordsize="21600,21600">
            <v:path/>
            <v:fill on="f" focussize="0,0"/>
            <v:stroke on="f" joinstyle="miter"/>
            <v:imagedata r:id="rId130" o:title=""/>
            <o:lock v:ext="edit" aspectratio="t"/>
            <w10:wrap type="none"/>
            <w10:anchorlock/>
          </v:shape>
          <o:OLEObject Type="Embed" ProgID="Equation.DSMT4" ShapeID="_x0000_i1065" DrawAspect="Content" ObjectID="_1468075765" r:id="rId129">
            <o:LockedField>false</o:LockedField>
          </o:OLEObject>
        </w:object>
      </w:r>
      <w:r>
        <w:t xml:space="preserve"> ——根据</w:t>
      </w:r>
      <w:r>
        <w:rPr>
          <w:rFonts w:hint="eastAsia"/>
        </w:rPr>
        <w:t>GB/T 4214.1—2017中8.4计算的A计权或频带测量表面声压级，并由背景噪声修正值</w:t>
      </w:r>
      <w:r>
        <w:rPr>
          <w:position w:val="-12"/>
        </w:rPr>
        <w:object>
          <v:shape id="_x0000_i1066" o:spt="75" type="#_x0000_t75" style="height:18pt;width:15.75pt;" o:ole="t" filled="f" o:preferrelative="t" stroked="f" coordsize="21600,21600">
            <v:path/>
            <v:fill on="f" focussize="0,0"/>
            <v:stroke on="f" joinstyle="miter"/>
            <v:imagedata r:id="rId132" o:title=""/>
            <o:lock v:ext="edit" aspectratio="t"/>
            <w10:wrap type="none"/>
            <w10:anchorlock/>
          </v:shape>
          <o:OLEObject Type="Embed" ProgID="Equation.DSMT4" ShapeID="_x0000_i1066" DrawAspect="Content" ObjectID="_1468075766" r:id="rId131">
            <o:LockedField>false</o:LockedField>
          </o:OLEObject>
        </w:object>
      </w:r>
      <w:r>
        <w:t>和环境修正值</w:t>
      </w:r>
      <w:r>
        <w:rPr>
          <w:position w:val="-12"/>
        </w:rPr>
        <w:object>
          <v:shape id="_x0000_i1067" o:spt="75" type="#_x0000_t75" style="height:18pt;width:15.75pt;" o:ole="t" filled="f" o:preferrelative="t" stroked="f" coordsize="21600,21600">
            <v:path/>
            <v:fill on="f" focussize="0,0"/>
            <v:stroke on="f" joinstyle="miter"/>
            <v:imagedata r:id="rId134" o:title=""/>
            <o:lock v:ext="edit" aspectratio="t"/>
            <w10:wrap type="none"/>
            <w10:anchorlock/>
          </v:shape>
          <o:OLEObject Type="Embed" ProgID="Equation.DSMT4" ShapeID="_x0000_i1067" DrawAspect="Content" ObjectID="_1468075767" r:id="rId133">
            <o:LockedField>false</o:LockedField>
          </o:OLEObject>
        </w:object>
      </w:r>
      <w:r>
        <w:t>修正，单位为</w:t>
      </w:r>
      <w:r>
        <w:rPr>
          <w:rFonts w:hint="eastAsia"/>
        </w:rPr>
        <w:t>分贝</w:t>
      </w:r>
      <w:r>
        <w:t>（</w:t>
      </w:r>
      <w:r>
        <w:rPr>
          <w:rFonts w:hint="eastAsia"/>
        </w:rPr>
        <w:t>dB</w:t>
      </w:r>
      <w:r>
        <w:t>）；</w:t>
      </w:r>
    </w:p>
    <w:p>
      <w:pPr>
        <w:pStyle w:val="67"/>
        <w:ind w:firstLine="420"/>
      </w:pPr>
      <w:r>
        <w:rPr>
          <w:position w:val="-6"/>
        </w:rPr>
        <w:object>
          <v:shape id="_x0000_i1068" o:spt="75" type="#_x0000_t75" style="height:14.25pt;width:11.25pt;" o:ole="t" filled="f" o:preferrelative="t" stroked="f" coordsize="21600,21600">
            <v:path/>
            <v:fill on="f" focussize="0,0"/>
            <v:stroke on="f" joinstyle="miter"/>
            <v:imagedata r:id="rId136" o:title=""/>
            <o:lock v:ext="edit" aspectratio="t"/>
            <w10:wrap type="none"/>
            <w10:anchorlock/>
          </v:shape>
          <o:OLEObject Type="Embed" ProgID="Equation.DSMT4" ShapeID="_x0000_i1068" DrawAspect="Content" ObjectID="_1468075768" r:id="rId135">
            <o:LockedField>false</o:LockedField>
          </o:OLEObject>
        </w:object>
      </w:r>
      <w:r>
        <w:t xml:space="preserve"> ——测量表面面积，单位为平方米（m</w:t>
      </w:r>
      <w:r>
        <w:rPr>
          <w:vertAlign w:val="superscript"/>
        </w:rPr>
        <w:t>2</w:t>
      </w:r>
      <w:r>
        <w:t>）；</w:t>
      </w:r>
    </w:p>
    <w:p>
      <w:pPr>
        <w:pStyle w:val="67"/>
        <w:spacing w:line="320" w:lineRule="exact"/>
        <w:ind w:firstLine="420"/>
      </w:pPr>
      <w:r>
        <w:rPr>
          <w:position w:val="-12"/>
        </w:rPr>
        <w:object>
          <v:shape id="_x0000_i1069" o:spt="75" type="#_x0000_t75" style="height:18pt;width:14.25pt;" o:ole="t" filled="f" o:preferrelative="t" stroked="f" coordsize="21600,21600">
            <v:path/>
            <v:fill on="f" focussize="0,0"/>
            <v:stroke on="f" joinstyle="miter"/>
            <v:imagedata r:id="rId138" o:title=""/>
            <o:lock v:ext="edit" aspectratio="t"/>
            <w10:wrap type="none"/>
            <w10:anchorlock/>
          </v:shape>
          <o:OLEObject Type="Embed" ProgID="Equation.DSMT4" ShapeID="_x0000_i1069" DrawAspect="Content" ObjectID="_1468075769" r:id="rId137">
            <o:LockedField>false</o:LockedField>
          </o:OLEObject>
        </w:object>
      </w:r>
      <w:r>
        <w:t xml:space="preserve"> ——1 m</w:t>
      </w:r>
      <w:r>
        <w:rPr>
          <w:vertAlign w:val="superscript"/>
        </w:rPr>
        <w:t>2</w:t>
      </w:r>
      <w:r>
        <w:t>。</w:t>
      </w:r>
    </w:p>
    <w:p>
      <w:pPr>
        <w:pStyle w:val="67"/>
        <w:ind w:firstLine="0" w:firstLineChars="0"/>
        <w:jc w:val="center"/>
      </w:pPr>
    </w:p>
    <w:p>
      <w:pPr>
        <w:pStyle w:val="209"/>
      </w:pPr>
      <w:bookmarkStart w:id="195" w:name="_Toc396892722"/>
      <w:r>
        <w:t>图</w:t>
      </w:r>
      <w:r>
        <w:rPr>
          <w:rFonts w:hint="eastAsia"/>
        </w:rPr>
        <w:t>B.3  带有外部风机的吸油烟机的标准负载</w:t>
      </w:r>
    </w:p>
    <w:bookmarkEnd w:id="195"/>
    <w:p>
      <w:pPr>
        <w:pStyle w:val="67"/>
        <w:ind w:firstLine="420"/>
      </w:pPr>
    </w:p>
    <w:p>
      <w:pPr>
        <w:widowControl/>
        <w:adjustRightInd/>
        <w:spacing w:line="240" w:lineRule="auto"/>
        <w:jc w:val="left"/>
        <w:rPr>
          <w:rFonts w:ascii="宋体" w:hAnsi="Times New Roman"/>
          <w:kern w:val="0"/>
          <w:szCs w:val="20"/>
        </w:rPr>
      </w:pPr>
      <w:r>
        <w:br w:type="page"/>
      </w:r>
    </w:p>
    <w:p>
      <w:pPr>
        <w:pStyle w:val="67"/>
        <w:ind w:firstLine="420"/>
      </w:pPr>
    </w:p>
    <w:p>
      <w:pPr>
        <w:pStyle w:val="209"/>
        <w:rPr>
          <w:vanish w:val="0"/>
        </w:rPr>
      </w:pPr>
    </w:p>
    <w:p>
      <w:pPr>
        <w:pStyle w:val="210"/>
        <w:rPr>
          <w:vanish w:val="0"/>
        </w:rPr>
      </w:pPr>
    </w:p>
    <w:p>
      <w:pPr>
        <w:pStyle w:val="87"/>
        <w:spacing w:before="78" w:after="156"/>
      </w:pPr>
      <w:r>
        <w:br w:type="textWrapping"/>
      </w:r>
      <w:bookmarkStart w:id="196" w:name="_Toc65063251"/>
      <w:bookmarkStart w:id="197" w:name="_Toc65063278"/>
      <w:bookmarkStart w:id="198" w:name="_Toc66814525"/>
      <w:bookmarkStart w:id="199" w:name="_Toc66815979"/>
      <w:bookmarkStart w:id="200" w:name="_Toc66866033"/>
      <w:bookmarkStart w:id="201" w:name="_Toc67317838"/>
      <w:bookmarkStart w:id="202" w:name="_Toc67317894"/>
      <w:bookmarkStart w:id="203" w:name="_Toc67318112"/>
      <w:bookmarkStart w:id="204" w:name="_Toc67426333"/>
      <w:bookmarkStart w:id="205" w:name="_Toc67429516"/>
      <w:bookmarkStart w:id="206" w:name="_Toc67429552"/>
      <w:bookmarkStart w:id="207" w:name="_Toc67430100"/>
      <w:r>
        <w:rPr>
          <w:rFonts w:hint="eastAsia"/>
        </w:rPr>
        <w:t>（规范性）</w:t>
      </w:r>
      <w:r>
        <w:br w:type="textWrapping"/>
      </w:r>
      <w:r>
        <w:rPr>
          <w:rFonts w:hint="eastAsia"/>
        </w:rPr>
        <w:t>工作噪声试验方法</w:t>
      </w:r>
      <w:bookmarkEnd w:id="196"/>
      <w:bookmarkEnd w:id="197"/>
      <w:bookmarkEnd w:id="198"/>
      <w:bookmarkEnd w:id="199"/>
      <w:bookmarkEnd w:id="200"/>
      <w:bookmarkEnd w:id="201"/>
      <w:bookmarkEnd w:id="202"/>
      <w:bookmarkEnd w:id="203"/>
      <w:bookmarkEnd w:id="204"/>
      <w:bookmarkEnd w:id="205"/>
      <w:bookmarkEnd w:id="206"/>
      <w:bookmarkEnd w:id="207"/>
    </w:p>
    <w:p>
      <w:pPr>
        <w:pStyle w:val="67"/>
        <w:ind w:firstLine="420"/>
      </w:pPr>
    </w:p>
    <w:p>
      <w:pPr>
        <w:pStyle w:val="89"/>
        <w:spacing w:before="156" w:after="156"/>
      </w:pPr>
      <w:bookmarkStart w:id="208" w:name="_Toc65063252"/>
      <w:r>
        <w:rPr>
          <w:rFonts w:hint="eastAsia"/>
        </w:rPr>
        <w:t>试验环境</w:t>
      </w:r>
      <w:bookmarkEnd w:id="208"/>
    </w:p>
    <w:p>
      <w:pPr>
        <w:pStyle w:val="223"/>
        <w:autoSpaceDE/>
        <w:autoSpaceDN/>
      </w:pPr>
      <w:r>
        <w:t>本试验</w:t>
      </w:r>
      <w:r>
        <w:rPr>
          <w:rFonts w:hint="eastAsia"/>
        </w:rPr>
        <w:t>可在符合本文件</w:t>
      </w:r>
      <w:r>
        <w:t>附录E的模拟厨房实验室</w:t>
      </w:r>
      <w:r>
        <w:rPr>
          <w:rFonts w:hint="eastAsia"/>
        </w:rPr>
        <w:t>内</w:t>
      </w:r>
      <w:r>
        <w:t>进行，厨房的</w:t>
      </w:r>
      <w:r>
        <w:rPr>
          <w:rFonts w:hint="eastAsia"/>
        </w:rPr>
        <w:t>壁面均应为光</w:t>
      </w:r>
      <w:r>
        <w:t>滑</w:t>
      </w:r>
      <w:r>
        <w:rPr>
          <w:rFonts w:hint="eastAsia"/>
        </w:rPr>
        <w:t>的</w:t>
      </w:r>
      <w:r>
        <w:t>反射壁</w:t>
      </w:r>
      <w:r>
        <w:rPr>
          <w:rFonts w:hint="eastAsia"/>
        </w:rPr>
        <w:t>面</w:t>
      </w:r>
      <w:r>
        <w:t>。</w:t>
      </w:r>
    </w:p>
    <w:p>
      <w:pPr>
        <w:pStyle w:val="223"/>
      </w:pPr>
      <w:r>
        <w:t>试验过程中，确保实验室</w:t>
      </w:r>
      <w:r>
        <w:rPr>
          <w:rFonts w:hint="eastAsia"/>
        </w:rPr>
        <w:t>背景</w:t>
      </w:r>
      <w:r>
        <w:t>噪声与</w:t>
      </w:r>
      <w:r>
        <w:rPr>
          <w:rFonts w:hint="eastAsia"/>
        </w:rPr>
        <w:t>器具噪声测定值的差</w:t>
      </w:r>
      <w:r>
        <w:t>应</w:t>
      </w:r>
      <w:r>
        <w:rPr>
          <w:rFonts w:hint="eastAsia"/>
        </w:rPr>
        <w:t>大于10</w:t>
      </w:r>
      <w:r>
        <w:t> </w:t>
      </w:r>
      <w:r>
        <w:rPr>
          <w:rFonts w:hint="eastAsia"/>
        </w:rPr>
        <w:t>dB</w:t>
      </w:r>
      <w:r>
        <w:t>。</w:t>
      </w:r>
    </w:p>
    <w:p>
      <w:pPr>
        <w:pStyle w:val="190"/>
      </w:pPr>
      <w:r>
        <w:t>本试验忽略了气压、温度对噪声值的影响。</w:t>
      </w:r>
    </w:p>
    <w:p>
      <w:pPr>
        <w:pStyle w:val="223"/>
        <w:autoSpaceDE/>
        <w:autoSpaceDN/>
      </w:pPr>
      <w:r>
        <w:rPr>
          <w:rFonts w:hint="eastAsia"/>
        </w:rPr>
        <w:t>排烟阻力模拟系统由制造商随机附带的排风管、固定式风管两部分组成。吸油烟机按图</w:t>
      </w:r>
      <w:r>
        <w:t>C</w:t>
      </w:r>
      <w:r>
        <w:rPr>
          <w:rFonts w:hint="eastAsia"/>
        </w:rPr>
        <w:t>.1的布置，其他烹饪烟气吸排装置按图</w:t>
      </w:r>
      <w:r>
        <w:t>C</w:t>
      </w:r>
      <w:r>
        <w:rPr>
          <w:rFonts w:hint="eastAsia"/>
        </w:rPr>
        <w:t>.2布置。固定式风管应符合图</w:t>
      </w:r>
      <w:r>
        <w:t>C</w:t>
      </w:r>
      <w:r>
        <w:rPr>
          <w:rFonts w:hint="eastAsia"/>
        </w:rPr>
        <w:t>.3的要求，并为避免排出气流对工作噪声的影响，出风口应通至厨房外侧。</w:t>
      </w:r>
    </w:p>
    <w:p>
      <w:pPr>
        <w:pStyle w:val="223"/>
      </w:pPr>
      <w:r>
        <w:rPr>
          <w:rFonts w:hint="eastAsia"/>
        </w:rPr>
        <w:t>固定式风管应固定可靠，和排风管连接处通过变径接头连接，变径接头可按</w:t>
      </w:r>
      <w:r>
        <w:t>C</w:t>
      </w:r>
      <w:r>
        <w:rPr>
          <w:rFonts w:hint="eastAsia"/>
        </w:rPr>
        <w:t>.2由试验室准备或使用制造商随机附带的过渡节。各接头处应使用胶带密封。排风管应适当拉展并固定，排风管过长的部分可裁剪，以避免产品运转时风管抖动。当被测器具有两个或多个用于连接管道的出风口可供选择时，吸油烟机应选择上侧的出风口，其他烹饪烟气吸排装置应按出厂时设置的出风口进行试验，否则应对所有出风口进行试验。</w:t>
      </w:r>
    </w:p>
    <w:p>
      <w:pPr>
        <w:pStyle w:val="223"/>
      </w:pPr>
      <w:r>
        <w:rPr>
          <w:rFonts w:hint="eastAsia"/>
        </w:rPr>
        <w:t>风管外侧环境温度应为（20±5）℃，相对湿度不大于85</w:t>
      </w:r>
      <w:r>
        <w:t> </w:t>
      </w:r>
      <w:r>
        <w:rPr>
          <w:rFonts w:hint="eastAsia"/>
        </w:rPr>
        <w:t>%，无外界气流和热辐射的实验室内进行。</w:t>
      </w:r>
    </w:p>
    <w:p>
      <w:pPr>
        <w:pStyle w:val="252"/>
        <w:ind w:firstLine="360"/>
        <w:jc w:val="right"/>
        <w:rPr>
          <w:rFonts w:hAnsi="宋体"/>
          <w:sz w:val="18"/>
        </w:rPr>
      </w:pPr>
      <w:r>
        <w:rPr>
          <w:rFonts w:hAnsi="宋体"/>
          <w:sz w:val="18"/>
        </w:rPr>
        <w:t>单位为毫米</w:t>
      </w:r>
    </w:p>
    <w:p>
      <w:pPr>
        <w:widowControl/>
        <w:snapToGrid w:val="0"/>
        <w:spacing w:before="156" w:beforeLines="50" w:line="300" w:lineRule="auto"/>
        <w:rPr>
          <w:bCs/>
          <w:color w:val="000000"/>
          <w:szCs w:val="22"/>
        </w:rPr>
      </w:pPr>
      <w:r>
        <w:rPr>
          <w:color w:val="000000"/>
          <w:szCs w:val="22"/>
        </w:rPr>
        <w:drawing>
          <wp:inline distT="0" distB="0" distL="0" distR="0">
            <wp:extent cx="5474335" cy="3386455"/>
            <wp:effectExtent l="0" t="0" r="0"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39" cstate="print">
                      <a:extLst>
                        <a:ext uri="{28A0092B-C50C-407E-A947-70E740481C1C}">
                          <a14:useLocalDpi xmlns:a14="http://schemas.microsoft.com/office/drawing/2010/main" val="0"/>
                        </a:ext>
                      </a:extLst>
                    </a:blip>
                    <a:srcRect l="1326" t="28935" r="2292" b="28935"/>
                    <a:stretch>
                      <a:fillRect/>
                    </a:stretch>
                  </pic:blipFill>
                  <pic:spPr>
                    <a:xfrm>
                      <a:off x="0" y="0"/>
                      <a:ext cx="5475691" cy="3387589"/>
                    </a:xfrm>
                    <a:prstGeom prst="rect">
                      <a:avLst/>
                    </a:prstGeom>
                    <a:noFill/>
                    <a:ln>
                      <a:noFill/>
                    </a:ln>
                  </pic:spPr>
                </pic:pic>
              </a:graphicData>
            </a:graphic>
          </wp:inline>
        </w:drawing>
      </w:r>
    </w:p>
    <w:p>
      <w:pPr>
        <w:pStyle w:val="252"/>
        <w:spacing w:line="480" w:lineRule="auto"/>
        <w:jc w:val="center"/>
        <w:rPr>
          <w:rFonts w:ascii="黑体" w:hAnsi="黑体" w:eastAsia="黑体" w:cs="黑体"/>
          <w:color w:val="000000"/>
          <w:szCs w:val="21"/>
        </w:rPr>
      </w:pPr>
      <w:r>
        <w:rPr>
          <w:rFonts w:hint="eastAsia" w:ascii="黑体" w:hAnsi="黑体" w:eastAsia="黑体" w:cs="黑体"/>
          <w:color w:val="000000"/>
          <w:szCs w:val="21"/>
        </w:rPr>
        <w:t>图</w:t>
      </w:r>
      <w:r>
        <w:rPr>
          <w:rFonts w:ascii="黑体" w:hAnsi="黑体" w:eastAsia="黑体" w:cs="黑体"/>
          <w:color w:val="000000"/>
          <w:szCs w:val="21"/>
        </w:rPr>
        <w:t>C</w:t>
      </w:r>
      <w:r>
        <w:rPr>
          <w:rFonts w:hint="eastAsia" w:ascii="黑体" w:hAnsi="黑体" w:eastAsia="黑体" w:cs="黑体"/>
          <w:color w:val="000000"/>
          <w:szCs w:val="21"/>
        </w:rPr>
        <w:t>.1  吸油烟机工作噪声试验布置图</w:t>
      </w:r>
    </w:p>
    <w:p>
      <w:pPr>
        <w:pStyle w:val="252"/>
        <w:ind w:firstLine="360"/>
        <w:jc w:val="right"/>
        <w:rPr>
          <w:rFonts w:hAnsi="宋体"/>
          <w:sz w:val="18"/>
        </w:rPr>
      </w:pPr>
    </w:p>
    <w:p>
      <w:pPr>
        <w:pStyle w:val="252"/>
        <w:ind w:firstLine="360"/>
        <w:jc w:val="right"/>
        <w:rPr>
          <w:rFonts w:hAnsi="宋体"/>
          <w:sz w:val="18"/>
        </w:rPr>
      </w:pPr>
    </w:p>
    <w:p>
      <w:pPr>
        <w:pStyle w:val="252"/>
        <w:ind w:firstLine="360"/>
        <w:jc w:val="right"/>
        <w:rPr>
          <w:rFonts w:ascii="黑体" w:hAnsi="黑体" w:eastAsia="黑体"/>
          <w:sz w:val="18"/>
        </w:rPr>
      </w:pPr>
      <w:r>
        <w:rPr>
          <w:rFonts w:hAnsi="宋体"/>
          <w:sz w:val="18"/>
        </w:rPr>
        <w:t>单位为毫米</w:t>
      </w:r>
      <w:r>
        <w:drawing>
          <wp:inline distT="0" distB="0" distL="0" distR="0">
            <wp:extent cx="5939790" cy="2538095"/>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0"/>
                    <a:stretch>
                      <a:fillRect/>
                    </a:stretch>
                  </pic:blipFill>
                  <pic:spPr>
                    <a:xfrm>
                      <a:off x="0" y="0"/>
                      <a:ext cx="5939790" cy="2538095"/>
                    </a:xfrm>
                    <a:prstGeom prst="rect">
                      <a:avLst/>
                    </a:prstGeom>
                  </pic:spPr>
                </pic:pic>
              </a:graphicData>
            </a:graphic>
          </wp:inline>
        </w:drawing>
      </w:r>
    </w:p>
    <w:p>
      <w:pPr>
        <w:pStyle w:val="252"/>
        <w:spacing w:line="480" w:lineRule="auto"/>
        <w:jc w:val="center"/>
        <w:rPr>
          <w:rFonts w:ascii="黑体" w:hAnsi="黑体" w:eastAsia="黑体" w:cs="黑体"/>
          <w:color w:val="000000"/>
          <w:szCs w:val="21"/>
        </w:rPr>
      </w:pPr>
      <w:r>
        <w:rPr>
          <w:rFonts w:hint="eastAsia" w:ascii="黑体" w:hAnsi="黑体" w:eastAsia="黑体" w:cs="黑体"/>
          <w:color w:val="000000"/>
          <w:szCs w:val="21"/>
        </w:rPr>
        <w:t>图</w:t>
      </w:r>
      <w:r>
        <w:rPr>
          <w:rFonts w:ascii="黑体" w:hAnsi="黑体" w:eastAsia="黑体" w:cs="黑体"/>
          <w:color w:val="000000"/>
          <w:szCs w:val="21"/>
        </w:rPr>
        <w:t>C</w:t>
      </w:r>
      <w:r>
        <w:rPr>
          <w:rFonts w:hint="eastAsia" w:ascii="黑体" w:hAnsi="黑体" w:eastAsia="黑体" w:cs="黑体"/>
          <w:color w:val="000000"/>
          <w:szCs w:val="21"/>
        </w:rPr>
        <w:t>.</w:t>
      </w:r>
      <w:r>
        <w:rPr>
          <w:rFonts w:ascii="黑体" w:hAnsi="黑体" w:eastAsia="黑体" w:cs="黑体"/>
          <w:color w:val="000000"/>
          <w:szCs w:val="21"/>
        </w:rPr>
        <w:t>2</w:t>
      </w:r>
      <w:r>
        <w:rPr>
          <w:rFonts w:hint="eastAsia" w:ascii="黑体" w:hAnsi="黑体" w:eastAsia="黑体" w:cs="黑体"/>
          <w:color w:val="000000"/>
          <w:szCs w:val="21"/>
        </w:rPr>
        <w:t xml:space="preserve">  其他烹饪烟气吸排装置工作噪声试验布置图</w:t>
      </w:r>
    </w:p>
    <w:p>
      <w:pPr>
        <w:pStyle w:val="252"/>
        <w:ind w:firstLine="360"/>
        <w:jc w:val="right"/>
        <w:rPr>
          <w:rFonts w:hAnsi="宋体"/>
          <w:sz w:val="18"/>
        </w:rPr>
      </w:pPr>
      <w:r>
        <w:rPr>
          <w:rFonts w:hAnsi="宋体"/>
          <w:sz w:val="18"/>
        </w:rPr>
        <w:t>单位为毫米</w:t>
      </w:r>
    </w:p>
    <w:p>
      <w:pPr>
        <w:widowControl/>
        <w:snapToGrid w:val="0"/>
        <w:spacing w:before="156" w:beforeLines="50" w:line="300" w:lineRule="auto"/>
        <w:jc w:val="center"/>
        <w:rPr>
          <w:bCs/>
          <w:color w:val="000000"/>
          <w:szCs w:val="22"/>
        </w:rPr>
      </w:pPr>
      <w:r>
        <w:drawing>
          <wp:inline distT="0" distB="0" distL="0" distR="0">
            <wp:extent cx="2579370" cy="1236980"/>
            <wp:effectExtent l="0" t="0" r="0"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2579370" cy="1236980"/>
                    </a:xfrm>
                    <a:prstGeom prst="rect">
                      <a:avLst/>
                    </a:prstGeom>
                    <a:noFill/>
                    <a:ln>
                      <a:noFill/>
                    </a:ln>
                  </pic:spPr>
                </pic:pic>
              </a:graphicData>
            </a:graphic>
          </wp:inline>
        </w:drawing>
      </w:r>
    </w:p>
    <w:p>
      <w:pPr>
        <w:snapToGrid w:val="0"/>
        <w:ind w:firstLine="360"/>
        <w:rPr>
          <w:bCs/>
          <w:color w:val="000000"/>
          <w:sz w:val="18"/>
          <w:szCs w:val="22"/>
        </w:rPr>
      </w:pPr>
    </w:p>
    <w:p>
      <w:pPr>
        <w:pStyle w:val="190"/>
      </w:pPr>
      <w:r>
        <w:rPr>
          <w:rFonts w:hint="eastAsia"/>
        </w:rPr>
        <w:t>尺寸均为内径尺寸，制作时需考虑壁厚。</w:t>
      </w:r>
    </w:p>
    <w:p>
      <w:pPr>
        <w:pStyle w:val="190"/>
      </w:pPr>
      <w:r>
        <w:rPr>
          <w:rFonts w:hint="eastAsia"/>
        </w:rPr>
        <w:t>D1为与排烟管相匹配的尺寸，可使用制造商随机提供的变径接头代替。</w:t>
      </w:r>
    </w:p>
    <w:p>
      <w:pPr>
        <w:pStyle w:val="252"/>
        <w:spacing w:line="480" w:lineRule="auto"/>
        <w:jc w:val="center"/>
        <w:rPr>
          <w:rFonts w:ascii="黑体" w:hAnsi="黑体" w:eastAsia="黑体" w:cs="黑体"/>
          <w:color w:val="000000"/>
          <w:szCs w:val="21"/>
        </w:rPr>
      </w:pPr>
      <w:r>
        <w:rPr>
          <w:rFonts w:hint="eastAsia" w:ascii="黑体" w:hAnsi="黑体" w:eastAsia="黑体" w:cs="黑体"/>
          <w:color w:val="000000"/>
          <w:szCs w:val="21"/>
        </w:rPr>
        <w:t>图</w:t>
      </w:r>
      <w:r>
        <w:rPr>
          <w:rFonts w:ascii="黑体" w:hAnsi="黑体" w:eastAsia="黑体" w:cs="黑体"/>
          <w:color w:val="000000"/>
          <w:szCs w:val="21"/>
        </w:rPr>
        <w:t>C</w:t>
      </w:r>
      <w:r>
        <w:rPr>
          <w:rFonts w:hint="eastAsia" w:ascii="黑体" w:hAnsi="黑体" w:eastAsia="黑体" w:cs="黑体"/>
          <w:color w:val="000000"/>
          <w:szCs w:val="21"/>
        </w:rPr>
        <w:t>.</w:t>
      </w:r>
      <w:r>
        <w:rPr>
          <w:rFonts w:ascii="黑体" w:hAnsi="黑体" w:eastAsia="黑体" w:cs="黑体"/>
          <w:color w:val="000000"/>
          <w:szCs w:val="21"/>
        </w:rPr>
        <w:t>3</w:t>
      </w:r>
      <w:r>
        <w:rPr>
          <w:rFonts w:hint="eastAsia" w:ascii="黑体" w:hAnsi="黑体" w:eastAsia="黑体" w:cs="黑体"/>
          <w:color w:val="000000"/>
          <w:szCs w:val="21"/>
        </w:rPr>
        <w:t xml:space="preserve">  固定式风管示意图</w:t>
      </w:r>
    </w:p>
    <w:p>
      <w:pPr>
        <w:pStyle w:val="89"/>
        <w:spacing w:before="156" w:after="156"/>
      </w:pPr>
      <w:bookmarkStart w:id="209" w:name="_Toc65063253"/>
      <w:r>
        <w:rPr>
          <w:rFonts w:hint="eastAsia"/>
        </w:rPr>
        <w:t>试验条件</w:t>
      </w:r>
      <w:bookmarkEnd w:id="209"/>
    </w:p>
    <w:p>
      <w:pPr>
        <w:pStyle w:val="223"/>
      </w:pPr>
      <w:r>
        <w:rPr>
          <w:rFonts w:hint="eastAsia"/>
        </w:rPr>
        <w:t>初始环境应达到下述条件后方可进行试验：</w:t>
      </w:r>
    </w:p>
    <w:p>
      <w:pPr>
        <w:pStyle w:val="284"/>
        <w:numPr>
          <w:ilvl w:val="0"/>
          <w:numId w:val="49"/>
        </w:numPr>
        <w:ind w:firstLineChars="0"/>
      </w:pPr>
      <w:r>
        <w:t>环境温度：20 </w:t>
      </w:r>
      <w:r>
        <w:rPr>
          <w:rFonts w:hint="eastAsia" w:cs="宋体"/>
        </w:rPr>
        <w:t>℃</w:t>
      </w:r>
      <w:r>
        <w:t>±5 </w:t>
      </w:r>
      <w:r>
        <w:rPr>
          <w:rFonts w:hint="eastAsia" w:cs="宋体"/>
        </w:rPr>
        <w:t>℃</w:t>
      </w:r>
      <w:r>
        <w:t>；</w:t>
      </w:r>
    </w:p>
    <w:p>
      <w:pPr>
        <w:pStyle w:val="284"/>
        <w:numPr>
          <w:ilvl w:val="0"/>
          <w:numId w:val="49"/>
        </w:numPr>
        <w:ind w:firstLineChars="0"/>
      </w:pPr>
      <w:r>
        <w:t>相对湿度：40 %</w:t>
      </w:r>
      <w:r>
        <w:rPr>
          <w:rFonts w:hint="eastAsia"/>
        </w:rPr>
        <w:t>～</w:t>
      </w:r>
      <w:r>
        <w:t>70 %;</w:t>
      </w:r>
    </w:p>
    <w:p>
      <w:pPr>
        <w:pStyle w:val="284"/>
        <w:numPr>
          <w:ilvl w:val="0"/>
          <w:numId w:val="49"/>
        </w:numPr>
        <w:ind w:firstLineChars="0"/>
      </w:pPr>
      <w:r>
        <w:t>大气压力：86 kPa</w:t>
      </w:r>
      <w:r>
        <w:rPr>
          <w:rFonts w:hint="eastAsia"/>
        </w:rPr>
        <w:t>～</w:t>
      </w:r>
      <w:r>
        <w:t>106 kPa。</w:t>
      </w:r>
    </w:p>
    <w:p>
      <w:pPr>
        <w:pStyle w:val="223"/>
      </w:pPr>
      <w:r>
        <w:rPr>
          <w:rFonts w:hint="eastAsia"/>
        </w:rPr>
        <w:t>试验时，吸油烟机最低部位与灶台之间的垂直距离为制造商随机提供的用户说明书标识出的最小安装高度。其他烹饪烟气吸排装置按说明书规定安装。</w:t>
      </w:r>
    </w:p>
    <w:p>
      <w:pPr>
        <w:pStyle w:val="223"/>
      </w:pPr>
      <w:r>
        <w:rPr>
          <w:rFonts w:hint="eastAsia"/>
        </w:rPr>
        <w:t>器具应接入额定电压、额定频率。</w:t>
      </w:r>
    </w:p>
    <w:p>
      <w:pPr>
        <w:pStyle w:val="223"/>
        <w:autoSpaceDE/>
        <w:autoSpaceDN/>
      </w:pPr>
      <w:r>
        <w:rPr>
          <w:rFonts w:hint="eastAsia"/>
        </w:rPr>
        <w:t>在噪声测试前，器具应在正常使用条件下以最高转速档下预热运行至少</w:t>
      </w:r>
      <w:r>
        <w:t>30 min</w:t>
      </w:r>
      <w:r>
        <w:rPr>
          <w:rFonts w:hint="eastAsia"/>
        </w:rPr>
        <w:t>。在每组噪声测试前，在最高转速档下运行</w:t>
      </w:r>
      <w:r>
        <w:t>10 min</w:t>
      </w:r>
      <w:r>
        <w:rPr>
          <w:rFonts w:hint="eastAsia"/>
        </w:rPr>
        <w:t>以达到稳定状态。</w:t>
      </w:r>
    </w:p>
    <w:p>
      <w:pPr>
        <w:pStyle w:val="223"/>
      </w:pPr>
      <w:r>
        <w:rPr>
          <w:rFonts w:hint="eastAsia"/>
        </w:rPr>
        <w:t>外排式吸油烟机应安装制造商随机附带的排风管和与排风管联接用的过渡罩。如果吸油烟机设计上有附加的过滤装置，应安装干净的过滤装置。</w:t>
      </w:r>
    </w:p>
    <w:p>
      <w:pPr>
        <w:pStyle w:val="223"/>
      </w:pPr>
      <w:r>
        <w:rPr>
          <w:rFonts w:hint="eastAsia"/>
        </w:rPr>
        <w:t>模拟厨房换气窗保持开启状态，房间门保持关闭状态。除必须有试验操作员对器具进行操作的情况外，应尽量避免试验操作员在场。试验操作员必须在场时，仅允许1人在场。试验操作员应远离被测声源，并至少离开噪声测量仪0.5</w:t>
      </w:r>
      <w:r>
        <w:t> </w:t>
      </w:r>
      <w:r>
        <w:rPr>
          <w:rFonts w:hint="eastAsia"/>
        </w:rPr>
        <w:t>m。</w:t>
      </w:r>
    </w:p>
    <w:p>
      <w:pPr>
        <w:pStyle w:val="89"/>
        <w:spacing w:before="156" w:after="156"/>
      </w:pPr>
      <w:bookmarkStart w:id="210" w:name="_Toc65063254"/>
      <w:r>
        <w:rPr>
          <w:rFonts w:hint="eastAsia"/>
        </w:rPr>
        <w:t>试验程序</w:t>
      </w:r>
      <w:bookmarkEnd w:id="210"/>
    </w:p>
    <w:p>
      <w:pPr>
        <w:pStyle w:val="223"/>
        <w:autoSpaceDE/>
        <w:autoSpaceDN/>
      </w:pPr>
      <w:r>
        <w:t>将器具按</w:t>
      </w:r>
      <w:r>
        <w:rPr>
          <w:rFonts w:hint="eastAsia"/>
        </w:rPr>
        <w:t>制造商随机提供的用户使用说明书</w:t>
      </w:r>
      <w:r>
        <w:t>安装在模拟厨房实验室中。</w:t>
      </w:r>
      <w:r>
        <w:rPr>
          <w:rFonts w:hint="eastAsia"/>
        </w:rPr>
        <w:t>将噪声测量仪放置在</w:t>
      </w:r>
      <w:r>
        <w:t>灶台前方器具中线处，</w:t>
      </w:r>
      <w:r>
        <w:rPr>
          <w:rFonts w:hint="eastAsia"/>
        </w:rPr>
        <w:t>探头距安装</w:t>
      </w:r>
      <w:r>
        <w:t>壁</w:t>
      </w:r>
      <w:r>
        <w:rPr>
          <w:rFonts w:hint="eastAsia"/>
        </w:rPr>
        <w:t>面7</w:t>
      </w:r>
      <w:r>
        <w:t>00 mm、距地面1500 mm。</w:t>
      </w:r>
    </w:p>
    <w:p>
      <w:pPr>
        <w:pStyle w:val="223"/>
        <w:autoSpaceDE/>
        <w:autoSpaceDN/>
      </w:pPr>
      <w:r>
        <w:rPr>
          <w:rFonts w:hint="eastAsia"/>
        </w:rPr>
        <w:t>在噪声测试前，器具应以最高转速档预热运行至少</w:t>
      </w:r>
      <w:r>
        <w:t>30 min</w:t>
      </w:r>
      <w:r>
        <w:rPr>
          <w:rFonts w:hint="eastAsia"/>
        </w:rPr>
        <w:t>。在每组噪声测试前，在最高转速档下运行</w:t>
      </w:r>
      <w:r>
        <w:t>10 min</w:t>
      </w:r>
      <w:r>
        <w:rPr>
          <w:rFonts w:hint="eastAsia"/>
        </w:rPr>
        <w:t>以达到稳定状态。</w:t>
      </w:r>
    </w:p>
    <w:p>
      <w:pPr>
        <w:pStyle w:val="67"/>
        <w:autoSpaceDE/>
        <w:autoSpaceDN/>
        <w:ind w:firstLine="420"/>
      </w:pPr>
      <w:r>
        <w:rPr>
          <w:rFonts w:hint="eastAsia"/>
        </w:rPr>
        <w:t>器具应在最高转速档下运行时进行</w:t>
      </w:r>
      <w:r>
        <w:t>A</w:t>
      </w:r>
      <w:r>
        <w:rPr>
          <w:rFonts w:hint="eastAsia"/>
        </w:rPr>
        <w:t>计权声压级噪声采集，观测期不小于30</w:t>
      </w:r>
      <w:r>
        <w:t> </w:t>
      </w:r>
      <w:r>
        <w:rPr>
          <w:rFonts w:hint="eastAsia"/>
        </w:rPr>
        <w:t>s，声级可取观测期间极大和极小声级的平均值。</w:t>
      </w:r>
    </w:p>
    <w:p>
      <w:pPr>
        <w:pStyle w:val="67"/>
        <w:autoSpaceDE/>
        <w:autoSpaceDN/>
        <w:ind w:firstLine="420"/>
      </w:pPr>
      <w:r>
        <w:t>短时工作升速档（如有）下的测试应在最高转速档测试完毕后进行，</w:t>
      </w:r>
      <w:r>
        <w:rPr>
          <w:rFonts w:hint="eastAsia"/>
        </w:rPr>
        <w:t>观测期不小于30</w:t>
      </w:r>
      <w:r>
        <w:t> </w:t>
      </w:r>
      <w:r>
        <w:rPr>
          <w:rFonts w:hint="eastAsia"/>
        </w:rPr>
        <w:t>s，声级取观测期间极大值。取3次测量的平均值。</w:t>
      </w:r>
    </w:p>
    <w:p>
      <w:pPr>
        <w:pStyle w:val="67"/>
        <w:autoSpaceDE/>
        <w:autoSpaceDN/>
        <w:ind w:firstLine="420"/>
      </w:pPr>
    </w:p>
    <w:p>
      <w:pPr>
        <w:pStyle w:val="67"/>
        <w:ind w:firstLine="420"/>
        <w:sectPr>
          <w:headerReference r:id="rId27" w:type="default"/>
          <w:footerReference r:id="rId29" w:type="default"/>
          <w:headerReference r:id="rId28" w:type="even"/>
          <w:footerReference r:id="rId30" w:type="even"/>
          <w:pgSz w:w="11906" w:h="16838"/>
          <w:pgMar w:top="1871" w:right="1134" w:bottom="1134" w:left="1134" w:header="1418" w:footer="1134" w:gutter="284"/>
          <w:cols w:space="425" w:num="1"/>
          <w:formProt w:val="0"/>
          <w:docGrid w:type="lines" w:linePitch="312" w:charSpace="0"/>
        </w:sectPr>
      </w:pPr>
    </w:p>
    <w:p>
      <w:pPr>
        <w:pStyle w:val="209"/>
        <w:rPr>
          <w:vanish w:val="0"/>
        </w:rPr>
      </w:pPr>
    </w:p>
    <w:p>
      <w:pPr>
        <w:pStyle w:val="210"/>
        <w:rPr>
          <w:vanish w:val="0"/>
        </w:rPr>
      </w:pPr>
    </w:p>
    <w:p>
      <w:pPr>
        <w:pStyle w:val="87"/>
        <w:spacing w:before="78" w:after="156"/>
      </w:pPr>
      <w:r>
        <w:br w:type="textWrapping"/>
      </w:r>
      <w:bookmarkStart w:id="211" w:name="_Toc67429517"/>
      <w:bookmarkStart w:id="212" w:name="_Toc67430101"/>
      <w:bookmarkStart w:id="213" w:name="_Toc67429553"/>
      <w:r>
        <w:rPr>
          <w:rFonts w:hint="eastAsia"/>
        </w:rPr>
        <w:t>（资料性）</w:t>
      </w:r>
      <w:r>
        <w:br w:type="textWrapping"/>
      </w:r>
      <w:r>
        <w:rPr>
          <w:rFonts w:hint="eastAsia"/>
        </w:rPr>
        <w:t>照明灯照度</w:t>
      </w:r>
      <w:bookmarkEnd w:id="211"/>
      <w:r>
        <w:rPr>
          <w:rFonts w:hint="eastAsia"/>
        </w:rPr>
        <w:t>试验方法</w:t>
      </w:r>
      <w:bookmarkEnd w:id="212"/>
      <w:bookmarkEnd w:id="213"/>
    </w:p>
    <w:p>
      <w:pPr>
        <w:pStyle w:val="89"/>
        <w:spacing w:before="156" w:after="156"/>
      </w:pPr>
      <w:r>
        <w:t>试验条件</w:t>
      </w:r>
    </w:p>
    <w:p>
      <w:pPr>
        <w:pStyle w:val="223"/>
        <w:autoSpaceDE/>
        <w:autoSpaceDN/>
      </w:pPr>
      <w:r>
        <w:rPr>
          <w:rFonts w:hint="eastAsia" w:ascii="Times New Roman"/>
          <w:bCs/>
          <w:color w:val="000000"/>
          <w:szCs w:val="22"/>
        </w:rPr>
        <w:t>器具应接入额定电压、额定频率.</w:t>
      </w:r>
    </w:p>
    <w:p>
      <w:pPr>
        <w:pStyle w:val="223"/>
        <w:autoSpaceDE/>
        <w:autoSpaceDN/>
      </w:pPr>
      <w:r>
        <w:rPr>
          <w:rFonts w:hint="eastAsia"/>
        </w:rPr>
        <w:t>进行试验时，房间内其他光源应熄灭，仅开启器具照明灯。</w:t>
      </w:r>
    </w:p>
    <w:p>
      <w:pPr>
        <w:pStyle w:val="223"/>
        <w:autoSpaceDE/>
        <w:autoSpaceDN/>
      </w:pPr>
      <w:r>
        <w:rPr>
          <w:rFonts w:hint="eastAsia"/>
        </w:rPr>
        <w:t>照明灯应预热至少30</w:t>
      </w:r>
      <w:r>
        <w:t> </w:t>
      </w:r>
      <w:r>
        <w:rPr>
          <w:rFonts w:hint="eastAsia"/>
        </w:rPr>
        <w:t>min。</w:t>
      </w:r>
    </w:p>
    <w:p>
      <w:pPr>
        <w:pStyle w:val="223"/>
        <w:autoSpaceDE/>
        <w:autoSpaceDN/>
      </w:pPr>
      <w:r>
        <w:rPr>
          <w:rFonts w:hint="eastAsia"/>
        </w:rPr>
        <w:t>为避免反射，所有临近表面，包括后墙和烹饪面左右两侧应由黑色亚光胶合板或类似木板延长覆盖至少500</w:t>
      </w:r>
      <w:r>
        <w:t> </w:t>
      </w:r>
      <w:r>
        <w:rPr>
          <w:rFonts w:hint="eastAsia"/>
        </w:rPr>
        <w:t>mm。</w:t>
      </w:r>
    </w:p>
    <w:p>
      <w:pPr>
        <w:pStyle w:val="223"/>
        <w:autoSpaceDE/>
        <w:autoSpaceDN/>
      </w:pPr>
      <w:r>
        <w:t>对于其他烹饪烟气吸排装置，为保证试验准确，必要时可拆除锅支架和燃烧器等活动部件。</w:t>
      </w:r>
    </w:p>
    <w:p>
      <w:pPr>
        <w:pStyle w:val="223"/>
        <w:autoSpaceDE/>
        <w:autoSpaceDN/>
      </w:pPr>
      <w:r>
        <w:rPr>
          <w:rFonts w:hint="eastAsia"/>
        </w:rPr>
        <w:t>测试点数量要求见表</w:t>
      </w:r>
      <w:r>
        <w:t>D</w:t>
      </w:r>
      <w:r>
        <w:rPr>
          <w:rFonts w:hint="eastAsia"/>
        </w:rPr>
        <w:t>.1，位置要求见图</w:t>
      </w:r>
      <w:r>
        <w:t>D</w:t>
      </w:r>
      <w:r>
        <w:rPr>
          <w:rFonts w:hint="eastAsia"/>
        </w:rPr>
        <w:t>.1，</w:t>
      </w:r>
      <w:r>
        <w:rPr>
          <w:rFonts w:hint="eastAsia" w:ascii="Times New Roman"/>
          <w:bCs/>
          <w:color w:val="000000"/>
          <w:szCs w:val="22"/>
        </w:rPr>
        <w:t>其中点1、2、3为器具中心线位置。</w:t>
      </w:r>
    </w:p>
    <w:p>
      <w:pPr>
        <w:widowControl/>
        <w:tabs>
          <w:tab w:val="center" w:pos="4201"/>
          <w:tab w:val="right" w:leader="dot" w:pos="9298"/>
        </w:tabs>
        <w:autoSpaceDE w:val="0"/>
        <w:autoSpaceDN w:val="0"/>
        <w:spacing w:line="480" w:lineRule="auto"/>
        <w:jc w:val="center"/>
        <w:rPr>
          <w:rFonts w:ascii="黑体" w:hAnsi="黑体" w:eastAsia="黑体" w:cs="黑体"/>
          <w:color w:val="000000"/>
          <w:kern w:val="0"/>
        </w:rPr>
      </w:pPr>
      <w:r>
        <w:rPr>
          <w:rFonts w:hint="eastAsia" w:ascii="黑体" w:hAnsi="黑体" w:eastAsia="黑体" w:cs="黑体"/>
          <w:color w:val="000000"/>
          <w:kern w:val="0"/>
        </w:rPr>
        <w:t>表</w:t>
      </w:r>
      <w:r>
        <w:rPr>
          <w:rFonts w:ascii="黑体" w:hAnsi="黑体" w:eastAsia="黑体" w:cs="黑体"/>
          <w:color w:val="000000"/>
          <w:kern w:val="0"/>
        </w:rPr>
        <w:t>D</w:t>
      </w:r>
      <w:r>
        <w:rPr>
          <w:rFonts w:hint="eastAsia" w:ascii="黑体" w:hAnsi="黑体" w:eastAsia="黑体" w:cs="黑体"/>
          <w:color w:val="000000"/>
          <w:kern w:val="0"/>
        </w:rPr>
        <w:t>.1 器具宽度对应的测试点</w:t>
      </w:r>
    </w:p>
    <w:tbl>
      <w:tblPr>
        <w:tblStyle w:val="3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785"/>
        <w:gridCol w:w="47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0" w:type="pct"/>
          </w:tcPr>
          <w:p>
            <w:pPr>
              <w:widowControl/>
              <w:tabs>
                <w:tab w:val="center" w:pos="4201"/>
                <w:tab w:val="right" w:leader="dot" w:pos="9298"/>
              </w:tabs>
              <w:autoSpaceDE w:val="0"/>
              <w:autoSpaceDN w:val="0"/>
              <w:adjustRightInd/>
              <w:spacing w:line="240" w:lineRule="auto"/>
              <w:jc w:val="center"/>
              <w:rPr>
                <w:rFonts w:ascii="宋体" w:hAnsi="宋体"/>
                <w:kern w:val="0"/>
                <w:sz w:val="18"/>
                <w:szCs w:val="18"/>
              </w:rPr>
            </w:pPr>
            <w:r>
              <w:rPr>
                <w:rFonts w:ascii="宋体" w:hAnsi="宋体"/>
                <w:kern w:val="0"/>
                <w:sz w:val="18"/>
                <w:szCs w:val="18"/>
              </w:rPr>
              <w:t>器具宽度（mm）</w:t>
            </w:r>
          </w:p>
        </w:tc>
        <w:tc>
          <w:tcPr>
            <w:tcW w:w="2500" w:type="pct"/>
          </w:tcPr>
          <w:p>
            <w:pPr>
              <w:widowControl/>
              <w:tabs>
                <w:tab w:val="center" w:pos="4201"/>
                <w:tab w:val="right" w:leader="dot" w:pos="9298"/>
              </w:tabs>
              <w:autoSpaceDE w:val="0"/>
              <w:autoSpaceDN w:val="0"/>
              <w:adjustRightInd/>
              <w:spacing w:line="240" w:lineRule="auto"/>
              <w:jc w:val="center"/>
              <w:rPr>
                <w:rFonts w:ascii="宋体" w:hAnsi="宋体"/>
                <w:kern w:val="0"/>
                <w:sz w:val="18"/>
                <w:szCs w:val="18"/>
              </w:rPr>
            </w:pPr>
            <w:r>
              <w:rPr>
                <w:rFonts w:ascii="宋体" w:hAnsi="宋体"/>
                <w:kern w:val="0"/>
                <w:sz w:val="18"/>
                <w:szCs w:val="18"/>
              </w:rPr>
              <w:t>对应测试点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0" w:type="pct"/>
          </w:tcPr>
          <w:p>
            <w:pPr>
              <w:widowControl/>
              <w:tabs>
                <w:tab w:val="center" w:pos="4201"/>
                <w:tab w:val="right" w:leader="dot" w:pos="9298"/>
              </w:tabs>
              <w:autoSpaceDE w:val="0"/>
              <w:autoSpaceDN w:val="0"/>
              <w:adjustRightInd/>
              <w:spacing w:line="240" w:lineRule="auto"/>
              <w:jc w:val="center"/>
              <w:rPr>
                <w:rFonts w:ascii="宋体" w:hAnsi="宋体"/>
                <w:kern w:val="0"/>
                <w:sz w:val="18"/>
                <w:szCs w:val="18"/>
              </w:rPr>
            </w:pPr>
            <w:r>
              <w:rPr>
                <w:rFonts w:ascii="宋体" w:hAnsi="宋体"/>
                <w:kern w:val="0"/>
                <w:sz w:val="18"/>
                <w:szCs w:val="18"/>
              </w:rPr>
              <w:t>＜800</w:t>
            </w:r>
          </w:p>
        </w:tc>
        <w:tc>
          <w:tcPr>
            <w:tcW w:w="2500" w:type="pct"/>
          </w:tcPr>
          <w:p>
            <w:pPr>
              <w:widowControl/>
              <w:tabs>
                <w:tab w:val="center" w:pos="4201"/>
                <w:tab w:val="right" w:leader="dot" w:pos="9298"/>
              </w:tabs>
              <w:autoSpaceDE w:val="0"/>
              <w:autoSpaceDN w:val="0"/>
              <w:adjustRightInd/>
              <w:spacing w:line="240" w:lineRule="auto"/>
              <w:jc w:val="center"/>
              <w:rPr>
                <w:rFonts w:ascii="宋体" w:hAnsi="宋体"/>
                <w:kern w:val="0"/>
                <w:sz w:val="18"/>
                <w:szCs w:val="18"/>
              </w:rPr>
            </w:pPr>
            <w:r>
              <w:rPr>
                <w:rFonts w:ascii="宋体" w:hAnsi="宋体"/>
                <w:kern w:val="0"/>
                <w:sz w:val="18"/>
                <w:szCs w:val="18"/>
              </w:rPr>
              <w:t>1</w:t>
            </w:r>
            <w:r>
              <w:rPr>
                <w:rFonts w:ascii="Times New Roman" w:hAnsi="Times New Roman"/>
                <w:bCs/>
                <w:color w:val="000000"/>
                <w:kern w:val="0"/>
                <w:sz w:val="18"/>
                <w:szCs w:val="22"/>
              </w:rPr>
              <w:t>~</w:t>
            </w:r>
            <w:r>
              <w:rPr>
                <w:rFonts w:ascii="宋体" w:hAnsi="宋体"/>
                <w:bCs/>
                <w:color w:val="000000"/>
                <w:kern w:val="0"/>
                <w:sz w:val="18"/>
                <w:szCs w:val="22"/>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0" w:type="pct"/>
          </w:tcPr>
          <w:p>
            <w:pPr>
              <w:widowControl/>
              <w:tabs>
                <w:tab w:val="center" w:pos="4201"/>
                <w:tab w:val="right" w:leader="dot" w:pos="9298"/>
              </w:tabs>
              <w:autoSpaceDE w:val="0"/>
              <w:autoSpaceDN w:val="0"/>
              <w:adjustRightInd/>
              <w:spacing w:line="240" w:lineRule="auto"/>
              <w:jc w:val="center"/>
              <w:rPr>
                <w:rFonts w:ascii="宋体" w:hAnsi="宋体"/>
                <w:kern w:val="0"/>
                <w:sz w:val="18"/>
                <w:szCs w:val="18"/>
              </w:rPr>
            </w:pPr>
            <w:r>
              <w:rPr>
                <w:rFonts w:ascii="宋体" w:hAnsi="宋体"/>
                <w:bCs/>
                <w:color w:val="000000"/>
                <w:kern w:val="0"/>
                <w:sz w:val="18"/>
                <w:szCs w:val="22"/>
              </w:rPr>
              <w:t>≥</w:t>
            </w:r>
            <w:r>
              <w:rPr>
                <w:rFonts w:hint="eastAsia" w:ascii="宋体" w:hAnsi="宋体"/>
                <w:bCs/>
                <w:color w:val="000000"/>
                <w:kern w:val="0"/>
                <w:sz w:val="18"/>
                <w:szCs w:val="22"/>
              </w:rPr>
              <w:t>800</w:t>
            </w:r>
            <w:r>
              <w:rPr>
                <w:rFonts w:ascii="Times New Roman" w:hAnsi="Times New Roman"/>
                <w:bCs/>
                <w:color w:val="000000"/>
                <w:kern w:val="0"/>
                <w:sz w:val="18"/>
                <w:szCs w:val="22"/>
              </w:rPr>
              <w:t>~</w:t>
            </w:r>
            <w:r>
              <w:rPr>
                <w:rFonts w:hint="eastAsia" w:ascii="宋体" w:hAnsi="宋体"/>
                <w:bCs/>
                <w:color w:val="000000"/>
                <w:kern w:val="0"/>
                <w:sz w:val="18"/>
                <w:szCs w:val="22"/>
              </w:rPr>
              <w:t>1050</w:t>
            </w:r>
          </w:p>
        </w:tc>
        <w:tc>
          <w:tcPr>
            <w:tcW w:w="2500" w:type="pct"/>
          </w:tcPr>
          <w:p>
            <w:pPr>
              <w:widowControl/>
              <w:tabs>
                <w:tab w:val="center" w:pos="4201"/>
                <w:tab w:val="right" w:leader="dot" w:pos="9298"/>
              </w:tabs>
              <w:autoSpaceDE w:val="0"/>
              <w:autoSpaceDN w:val="0"/>
              <w:adjustRightInd/>
              <w:spacing w:line="240" w:lineRule="auto"/>
              <w:jc w:val="center"/>
              <w:rPr>
                <w:rFonts w:ascii="宋体" w:hAnsi="宋体"/>
                <w:kern w:val="0"/>
                <w:sz w:val="18"/>
                <w:szCs w:val="18"/>
              </w:rPr>
            </w:pPr>
            <w:r>
              <w:rPr>
                <w:rFonts w:ascii="宋体" w:hAnsi="宋体"/>
                <w:kern w:val="0"/>
                <w:sz w:val="18"/>
                <w:szCs w:val="18"/>
              </w:rPr>
              <w:t>1</w:t>
            </w:r>
            <w:r>
              <w:rPr>
                <w:rFonts w:ascii="Times New Roman" w:hAnsi="Times New Roman"/>
                <w:bCs/>
                <w:color w:val="000000"/>
                <w:kern w:val="0"/>
                <w:sz w:val="18"/>
                <w:szCs w:val="22"/>
              </w:rPr>
              <w:t>~</w:t>
            </w:r>
            <w:r>
              <w:rPr>
                <w:rFonts w:ascii="宋体" w:hAnsi="宋体"/>
                <w:bCs/>
                <w:color w:val="000000"/>
                <w:kern w:val="0"/>
                <w:sz w:val="18"/>
                <w:szCs w:val="22"/>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0" w:type="pct"/>
          </w:tcPr>
          <w:p>
            <w:pPr>
              <w:widowControl/>
              <w:tabs>
                <w:tab w:val="center" w:pos="4201"/>
                <w:tab w:val="right" w:leader="dot" w:pos="9298"/>
              </w:tabs>
              <w:autoSpaceDE w:val="0"/>
              <w:autoSpaceDN w:val="0"/>
              <w:adjustRightInd/>
              <w:spacing w:line="240" w:lineRule="auto"/>
              <w:jc w:val="center"/>
              <w:rPr>
                <w:rFonts w:ascii="宋体" w:hAnsi="宋体"/>
                <w:kern w:val="0"/>
                <w:sz w:val="18"/>
                <w:szCs w:val="18"/>
              </w:rPr>
            </w:pPr>
            <w:r>
              <w:rPr>
                <w:rFonts w:ascii="宋体" w:hAnsi="宋体"/>
                <w:bCs/>
                <w:color w:val="000000"/>
                <w:kern w:val="0"/>
                <w:sz w:val="18"/>
                <w:szCs w:val="22"/>
              </w:rPr>
              <w:t>≥1050</w:t>
            </w:r>
            <w:r>
              <w:rPr>
                <w:rFonts w:ascii="Times New Roman" w:hAnsi="Times New Roman"/>
                <w:bCs/>
                <w:color w:val="000000"/>
                <w:kern w:val="0"/>
                <w:sz w:val="18"/>
                <w:szCs w:val="22"/>
              </w:rPr>
              <w:t>~</w:t>
            </w:r>
            <w:r>
              <w:rPr>
                <w:rFonts w:ascii="宋体" w:hAnsi="宋体"/>
                <w:bCs/>
                <w:color w:val="000000"/>
                <w:kern w:val="0"/>
                <w:sz w:val="18"/>
                <w:szCs w:val="22"/>
              </w:rPr>
              <w:t>1300</w:t>
            </w:r>
          </w:p>
        </w:tc>
        <w:tc>
          <w:tcPr>
            <w:tcW w:w="2500" w:type="pct"/>
          </w:tcPr>
          <w:p>
            <w:pPr>
              <w:widowControl/>
              <w:tabs>
                <w:tab w:val="center" w:pos="4201"/>
                <w:tab w:val="right" w:leader="dot" w:pos="9298"/>
              </w:tabs>
              <w:autoSpaceDE w:val="0"/>
              <w:autoSpaceDN w:val="0"/>
              <w:adjustRightInd/>
              <w:spacing w:line="240" w:lineRule="auto"/>
              <w:jc w:val="center"/>
              <w:rPr>
                <w:rFonts w:ascii="宋体" w:hAnsi="宋体"/>
                <w:kern w:val="0"/>
                <w:sz w:val="18"/>
                <w:szCs w:val="18"/>
              </w:rPr>
            </w:pPr>
            <w:r>
              <w:rPr>
                <w:rFonts w:ascii="宋体" w:hAnsi="宋体"/>
                <w:kern w:val="0"/>
                <w:sz w:val="18"/>
                <w:szCs w:val="18"/>
              </w:rPr>
              <w:t>1</w:t>
            </w:r>
            <w:r>
              <w:rPr>
                <w:rFonts w:ascii="Times New Roman" w:hAnsi="Times New Roman"/>
                <w:bCs/>
                <w:color w:val="000000"/>
                <w:kern w:val="0"/>
                <w:sz w:val="18"/>
                <w:szCs w:val="22"/>
              </w:rPr>
              <w:t>~</w:t>
            </w:r>
            <w:r>
              <w:rPr>
                <w:rFonts w:ascii="宋体" w:hAnsi="宋体"/>
                <w:bCs/>
                <w:color w:val="000000"/>
                <w:kern w:val="0"/>
                <w:sz w:val="18"/>
                <w:szCs w:val="22"/>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0" w:type="pct"/>
          </w:tcPr>
          <w:p>
            <w:pPr>
              <w:widowControl/>
              <w:tabs>
                <w:tab w:val="center" w:pos="4201"/>
                <w:tab w:val="right" w:leader="dot" w:pos="9298"/>
              </w:tabs>
              <w:autoSpaceDE w:val="0"/>
              <w:autoSpaceDN w:val="0"/>
              <w:adjustRightInd/>
              <w:spacing w:line="240" w:lineRule="auto"/>
              <w:jc w:val="center"/>
              <w:rPr>
                <w:rFonts w:ascii="宋体" w:hAnsi="宋体"/>
                <w:kern w:val="0"/>
                <w:sz w:val="18"/>
                <w:szCs w:val="18"/>
              </w:rPr>
            </w:pPr>
            <w:r>
              <w:rPr>
                <w:rFonts w:ascii="宋体" w:hAnsi="宋体"/>
                <w:kern w:val="0"/>
                <w:sz w:val="18"/>
                <w:szCs w:val="18"/>
              </w:rPr>
              <w:t>＞1300</w:t>
            </w:r>
          </w:p>
        </w:tc>
        <w:tc>
          <w:tcPr>
            <w:tcW w:w="2500" w:type="pct"/>
          </w:tcPr>
          <w:p>
            <w:pPr>
              <w:widowControl/>
              <w:tabs>
                <w:tab w:val="center" w:pos="4201"/>
                <w:tab w:val="right" w:leader="dot" w:pos="9298"/>
              </w:tabs>
              <w:autoSpaceDE w:val="0"/>
              <w:autoSpaceDN w:val="0"/>
              <w:adjustRightInd/>
              <w:spacing w:line="240" w:lineRule="auto"/>
              <w:jc w:val="center"/>
              <w:rPr>
                <w:rFonts w:ascii="宋体" w:hAnsi="宋体"/>
                <w:kern w:val="0"/>
                <w:sz w:val="18"/>
                <w:szCs w:val="18"/>
              </w:rPr>
            </w:pPr>
            <w:r>
              <w:rPr>
                <w:rFonts w:ascii="宋体" w:hAnsi="宋体"/>
                <w:kern w:val="0"/>
                <w:sz w:val="18"/>
                <w:szCs w:val="18"/>
              </w:rPr>
              <w:t>1</w:t>
            </w:r>
            <w:r>
              <w:rPr>
                <w:rFonts w:ascii="Times New Roman" w:hAnsi="Times New Roman"/>
                <w:bCs/>
                <w:color w:val="000000"/>
                <w:kern w:val="0"/>
                <w:sz w:val="18"/>
                <w:szCs w:val="22"/>
              </w:rPr>
              <w:t>~</w:t>
            </w:r>
            <w:r>
              <w:rPr>
                <w:rFonts w:ascii="宋体" w:hAnsi="宋体"/>
                <w:bCs/>
                <w:color w:val="000000"/>
                <w:kern w:val="0"/>
                <w:sz w:val="18"/>
                <w:szCs w:val="22"/>
              </w:rPr>
              <w:t>27</w:t>
            </w:r>
          </w:p>
        </w:tc>
      </w:tr>
    </w:tbl>
    <w:p>
      <w:pPr>
        <w:widowControl/>
        <w:tabs>
          <w:tab w:val="center" w:pos="4201"/>
          <w:tab w:val="right" w:leader="dot" w:pos="9298"/>
        </w:tabs>
        <w:autoSpaceDE w:val="0"/>
        <w:autoSpaceDN w:val="0"/>
        <w:ind w:firstLine="360"/>
        <w:jc w:val="right"/>
        <w:rPr>
          <w:rFonts w:ascii="宋体" w:hAnsi="宋体"/>
          <w:kern w:val="0"/>
          <w:sz w:val="18"/>
          <w:szCs w:val="20"/>
        </w:rPr>
      </w:pPr>
      <w:r>
        <w:rPr>
          <w:rFonts w:ascii="宋体" w:hAnsi="宋体"/>
          <w:kern w:val="0"/>
          <w:sz w:val="18"/>
          <w:szCs w:val="20"/>
        </w:rPr>
        <w:t>单位为毫米</w:t>
      </w:r>
    </w:p>
    <w:p>
      <w:pPr>
        <w:pStyle w:val="67"/>
        <w:ind w:firstLine="420"/>
        <w:jc w:val="center"/>
      </w:pPr>
      <w:r>
        <w:drawing>
          <wp:inline distT="0" distB="0" distL="0" distR="0">
            <wp:extent cx="4615180" cy="24022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a:xfrm>
                      <a:off x="0" y="0"/>
                      <a:ext cx="4632570" cy="2411169"/>
                    </a:xfrm>
                    <a:prstGeom prst="rect">
                      <a:avLst/>
                    </a:prstGeom>
                    <a:noFill/>
                    <a:ln>
                      <a:noFill/>
                    </a:ln>
                  </pic:spPr>
                </pic:pic>
              </a:graphicData>
            </a:graphic>
          </wp:inline>
        </w:drawing>
      </w:r>
    </w:p>
    <w:p>
      <w:pPr>
        <w:widowControl/>
        <w:tabs>
          <w:tab w:val="center" w:pos="4201"/>
          <w:tab w:val="right" w:leader="dot" w:pos="9298"/>
        </w:tabs>
        <w:autoSpaceDE w:val="0"/>
        <w:autoSpaceDN w:val="0"/>
        <w:spacing w:line="240" w:lineRule="auto"/>
        <w:rPr>
          <w:rFonts w:hAnsi="Times New Roman"/>
          <w:kern w:val="0"/>
          <w:szCs w:val="20"/>
        </w:rPr>
      </w:pPr>
      <w:r>
        <w:rPr>
          <w:rFonts w:hint="eastAsia" w:hAnsi="Times New Roman"/>
          <w:kern w:val="0"/>
          <w:szCs w:val="20"/>
        </w:rPr>
        <w:t>其中：</w:t>
      </w:r>
    </w:p>
    <w:p>
      <w:pPr>
        <w:widowControl/>
        <w:spacing w:line="240" w:lineRule="auto"/>
        <w:rPr>
          <w:rFonts w:ascii="Times New Roman" w:hAnsi="Times New Roman"/>
          <w:bCs/>
          <w:color w:val="000000"/>
          <w:szCs w:val="22"/>
        </w:rPr>
      </w:pPr>
      <w:r>
        <w:rPr>
          <w:rFonts w:ascii="Times New Roman" w:hAnsi="Times New Roman"/>
          <w:bCs/>
          <w:color w:val="000000"/>
          <w:szCs w:val="22"/>
        </w:rPr>
        <w:t>b——器具所在墙壁与灶台的交线；</w:t>
      </w:r>
    </w:p>
    <w:p>
      <w:pPr>
        <w:widowControl/>
        <w:spacing w:line="240" w:lineRule="auto"/>
        <w:rPr>
          <w:rFonts w:ascii="Times New Roman" w:hAnsi="Times New Roman"/>
          <w:bCs/>
          <w:color w:val="000000"/>
          <w:szCs w:val="22"/>
        </w:rPr>
      </w:pPr>
      <w:r>
        <w:rPr>
          <w:rFonts w:ascii="Times New Roman" w:hAnsi="Times New Roman"/>
          <w:bCs/>
          <w:color w:val="000000"/>
          <w:szCs w:val="22"/>
        </w:rPr>
        <w:t>c——中心线；</w:t>
      </w:r>
    </w:p>
    <w:p>
      <w:pPr>
        <w:widowControl/>
        <w:spacing w:line="240" w:lineRule="auto"/>
        <w:rPr>
          <w:rFonts w:ascii="Times New Roman" w:hAnsi="Times New Roman"/>
          <w:bCs/>
          <w:color w:val="000000"/>
          <w:szCs w:val="22"/>
        </w:rPr>
      </w:pPr>
      <w:r>
        <w:rPr>
          <w:rFonts w:ascii="Times New Roman" w:hAnsi="Times New Roman"/>
          <w:bCs/>
          <w:color w:val="000000"/>
          <w:szCs w:val="22"/>
        </w:rPr>
        <w:sym w:font="Wingdings" w:char="F0A1"/>
      </w:r>
      <w:r>
        <w:rPr>
          <w:rFonts w:ascii="Times New Roman" w:hAnsi="Times New Roman"/>
          <w:bCs/>
          <w:color w:val="000000"/>
          <w:szCs w:val="22"/>
        </w:rPr>
        <w:t>——测试点。</w:t>
      </w:r>
    </w:p>
    <w:p>
      <w:pPr>
        <w:widowControl/>
        <w:tabs>
          <w:tab w:val="center" w:pos="4201"/>
          <w:tab w:val="right" w:leader="dot" w:pos="9298"/>
        </w:tabs>
        <w:autoSpaceDE w:val="0"/>
        <w:autoSpaceDN w:val="0"/>
        <w:spacing w:line="480" w:lineRule="auto"/>
        <w:jc w:val="center"/>
        <w:rPr>
          <w:rFonts w:ascii="黑体" w:hAnsi="黑体" w:eastAsia="黑体" w:cs="黑体"/>
          <w:color w:val="000000"/>
          <w:kern w:val="0"/>
        </w:rPr>
      </w:pPr>
      <w:r>
        <w:rPr>
          <w:rFonts w:hint="eastAsia" w:ascii="黑体" w:hAnsi="黑体" w:eastAsia="黑体" w:cs="黑体"/>
          <w:color w:val="000000"/>
          <w:kern w:val="0"/>
        </w:rPr>
        <w:t>图</w:t>
      </w:r>
      <w:r>
        <w:rPr>
          <w:rFonts w:ascii="黑体" w:hAnsi="黑体" w:eastAsia="黑体" w:cs="黑体"/>
          <w:color w:val="000000"/>
          <w:kern w:val="0"/>
        </w:rPr>
        <w:t>D</w:t>
      </w:r>
      <w:r>
        <w:rPr>
          <w:rFonts w:hint="eastAsia" w:ascii="黑体" w:hAnsi="黑体" w:eastAsia="黑体" w:cs="黑体"/>
          <w:color w:val="000000"/>
          <w:kern w:val="0"/>
        </w:rPr>
        <w:t>.1</w:t>
      </w:r>
      <w:r>
        <w:rPr>
          <w:rFonts w:ascii="黑体" w:hAnsi="黑体" w:eastAsia="黑体" w:cs="黑体"/>
          <w:color w:val="000000"/>
          <w:kern w:val="0"/>
        </w:rPr>
        <w:t xml:space="preserve"> 测试点位置</w:t>
      </w:r>
    </w:p>
    <w:p>
      <w:pPr>
        <w:pStyle w:val="223"/>
        <w:rPr>
          <w:rFonts w:ascii="Times New Roman"/>
          <w:bCs/>
          <w:color w:val="000000"/>
          <w:szCs w:val="22"/>
        </w:rPr>
      </w:pPr>
      <w:r>
        <w:rPr>
          <w:rFonts w:hint="eastAsia" w:ascii="Times New Roman"/>
          <w:bCs/>
          <w:color w:val="000000"/>
          <w:szCs w:val="22"/>
        </w:rPr>
        <w:t>试验时，吸油烟机最低部位与灶台之间的垂直距离为制造商随机提供的用户说明书标识出的最小安装高度。选取灶台平面为测试平面。其他烹饪烟气吸排装置按器具本身的尺寸为准。</w:t>
      </w:r>
    </w:p>
    <w:p>
      <w:pPr>
        <w:pStyle w:val="89"/>
        <w:spacing w:before="156" w:after="156"/>
      </w:pPr>
      <w:r>
        <w:t>试验程序</w:t>
      </w:r>
    </w:p>
    <w:p>
      <w:pPr>
        <w:widowControl/>
        <w:tabs>
          <w:tab w:val="center" w:pos="4201"/>
          <w:tab w:val="right" w:leader="dot" w:pos="9298"/>
        </w:tabs>
        <w:rPr>
          <w:rFonts w:ascii="宋体" w:hAnsi="宋体"/>
          <w:kern w:val="0"/>
          <w:szCs w:val="20"/>
        </w:rPr>
      </w:pPr>
      <w:r>
        <w:rPr>
          <w:rFonts w:ascii="宋体" w:hAnsi="宋体"/>
          <w:kern w:val="0"/>
          <w:szCs w:val="20"/>
        </w:rPr>
        <w:t>照明灯照度E</w:t>
      </w:r>
      <w:r>
        <w:rPr>
          <w:rFonts w:ascii="宋体" w:hAnsi="宋体"/>
          <w:kern w:val="0"/>
          <w:szCs w:val="20"/>
          <w:vertAlign w:val="subscript"/>
        </w:rPr>
        <w:t>middle</w:t>
      </w:r>
      <w:r>
        <w:rPr>
          <w:rFonts w:ascii="宋体" w:hAnsi="宋体"/>
          <w:kern w:val="0"/>
          <w:szCs w:val="20"/>
        </w:rPr>
        <w:t>按公式D.1计算：</w:t>
      </w:r>
    </w:p>
    <w:p>
      <w:pPr>
        <w:pStyle w:val="124"/>
      </w:pPr>
      <w:r>
        <w:tab/>
      </w:r>
      <m:oMath>
        <m:r>
          <m:rPr>
            <m:sty m:val="p"/>
          </m:rPr>
          <w:rPr>
            <w:rFonts w:ascii="Cambria Math" w:hAnsi="Cambria Math"/>
          </w:rPr>
          <m:t xml:space="preserve"> </m:t>
        </m:r>
        <m:sSub>
          <m:sSubPr>
            <m:ctrlPr>
              <w:rPr>
                <w:rFonts w:ascii="Cambria Math" w:hAnsi="Cambria Math"/>
              </w:rPr>
            </m:ctrlPr>
          </m:sSubPr>
          <m:e>
            <m:r>
              <w:rPr>
                <w:rFonts w:ascii="Cambria Math" w:hAnsi="Cambria Math"/>
              </w:rPr>
              <m:t>E</m:t>
            </m:r>
            <m:ctrlPr>
              <w:rPr>
                <w:rFonts w:ascii="Cambria Math" w:hAnsi="Cambria Math"/>
              </w:rPr>
            </m:ctrlPr>
          </m:e>
          <m:sub>
            <m:r>
              <w:rPr>
                <w:rFonts w:ascii="Cambria Math" w:hAnsi="Cambria Math"/>
              </w:rPr>
              <m:t>middle</m:t>
            </m:r>
            <m:ctrlPr>
              <w:rPr>
                <w:rFonts w:ascii="Cambria Math" w:hAnsi="Cambria Math"/>
              </w:rPr>
            </m:ctrlP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1</m:t>
                </m:r>
                <m:ctrlPr>
                  <w:rPr>
                    <w:rFonts w:ascii="Cambria Math" w:hAnsi="Cambria Math"/>
                    <w:i/>
                  </w:rPr>
                </m:ctrlPr>
              </m:sub>
              <m:sup>
                <m:r>
                  <w:rPr>
                    <w:rFonts w:ascii="Cambria Math" w:hAnsi="Cambria Math"/>
                  </w:rPr>
                  <m:t>m</m:t>
                </m:r>
                <m:ctrlPr>
                  <w:rPr>
                    <w:rFonts w:ascii="Cambria Math" w:hAnsi="Cambria Math"/>
                    <w:i/>
                  </w:rPr>
                </m:ctrlPr>
              </m:sup>
              <m:e>
                <m:sSub>
                  <m:sSubPr>
                    <m:ctrlPr>
                      <w:rPr>
                        <w:rFonts w:ascii="Cambria Math" w:hAnsi="Cambria Math"/>
                        <w:i/>
                      </w:rPr>
                    </m:ctrlPr>
                  </m:sSubPr>
                  <m:e>
                    <m:r>
                      <w:rPr>
                        <w:rFonts w:ascii="Cambria Math" w:hAnsi="Cambria Math"/>
                      </w:rPr>
                      <m:t>E</m:t>
                    </m:r>
                    <m:ctrlPr>
                      <w:rPr>
                        <w:rFonts w:ascii="Cambria Math" w:hAnsi="Cambria Math"/>
                        <w:i/>
                      </w:rPr>
                    </m:ctrlPr>
                  </m:e>
                  <m:sub>
                    <m:r>
                      <w:rPr>
                        <w:rFonts w:ascii="Cambria Math" w:hAnsi="Cambria Math"/>
                      </w:rPr>
                      <m:t>i</m:t>
                    </m:r>
                    <m:ctrlPr>
                      <w:rPr>
                        <w:rFonts w:ascii="Cambria Math" w:hAnsi="Cambria Math"/>
                        <w:i/>
                      </w:rPr>
                    </m:ctrlPr>
                  </m:sub>
                </m:sSub>
                <m:ctrlPr>
                  <w:rPr>
                    <w:rFonts w:ascii="Cambria Math" w:hAnsi="Cambria Math"/>
                    <w:i/>
                  </w:rPr>
                </m:ctrlPr>
              </m:e>
            </m:nary>
            <m:ctrlPr>
              <w:rPr>
                <w:rFonts w:ascii="Cambria Math" w:hAnsi="Cambria Math"/>
                <w:i/>
              </w:rPr>
            </m:ctrlPr>
          </m:num>
          <m:den>
            <m:r>
              <w:rPr>
                <w:rFonts w:ascii="Cambria Math" w:hAnsi="Cambria Math"/>
              </w:rPr>
              <m:t>m</m:t>
            </m:r>
            <m:ctrlPr>
              <w:rPr>
                <w:rFonts w:ascii="Cambria Math" w:hAnsi="Cambria Math"/>
                <w:i/>
              </w:rPr>
            </m:ctrlPr>
          </m:den>
        </m:f>
      </m:oMath>
      <w:r>
        <w:rPr>
          <w:rFonts w:ascii="微软雅黑" w:hAnsi="微软雅黑" w:eastAsia="微软雅黑"/>
        </w:rPr>
        <w:tab/>
      </w:r>
      <w:r>
        <w:t>(D.</w:t>
      </w:r>
      <w:r>
        <w:fldChar w:fldCharType="begin"/>
      </w:r>
      <w:r>
        <w:instrText xml:space="preserve"> seq fulu_equation_132586087084463793 </w:instrText>
      </w:r>
      <w:r>
        <w:fldChar w:fldCharType="separate"/>
      </w:r>
      <w:r>
        <w:t>1</w:t>
      </w:r>
      <w:r>
        <w:fldChar w:fldCharType="end"/>
      </w:r>
      <w:r>
        <w:t>)</w:t>
      </w:r>
    </w:p>
    <w:p>
      <w:pPr>
        <w:pStyle w:val="66"/>
        <w:ind w:firstLine="420"/>
      </w:pPr>
      <w:r>
        <w:rPr>
          <w:rFonts w:hint="eastAsia"/>
        </w:rPr>
        <w:t>式中：</w:t>
      </w:r>
    </w:p>
    <w:p>
      <w:pPr>
        <w:pStyle w:val="67"/>
        <w:ind w:firstLine="420"/>
      </w:pPr>
      <w:r>
        <w:rPr>
          <w:rFonts w:ascii="Times New Roman"/>
        </w:rPr>
        <w:t>E</w:t>
      </w:r>
      <w:r>
        <w:rPr>
          <w:rFonts w:ascii="Times New Roman"/>
          <w:vertAlign w:val="subscript"/>
        </w:rPr>
        <w:t>middle</w:t>
      </w:r>
      <w:r>
        <w:rPr>
          <w:rFonts w:ascii="Times New Roman"/>
        </w:rPr>
        <w:t>——照明灯光照度；</w:t>
      </w:r>
    </w:p>
    <w:p>
      <w:pPr>
        <w:widowControl/>
        <w:tabs>
          <w:tab w:val="center" w:pos="4201"/>
          <w:tab w:val="right" w:leader="dot" w:pos="9298"/>
        </w:tabs>
        <w:spacing w:line="320" w:lineRule="exact"/>
        <w:ind w:left="420" w:leftChars="200"/>
        <w:rPr>
          <w:rFonts w:ascii="Times New Roman" w:hAnsi="Times New Roman"/>
          <w:kern w:val="0"/>
          <w:szCs w:val="20"/>
        </w:rPr>
      </w:pPr>
      <w:r>
        <w:rPr>
          <w:rFonts w:ascii="Times New Roman" w:hAnsi="Times New Roman"/>
          <w:kern w:val="0"/>
          <w:szCs w:val="20"/>
        </w:rPr>
        <w:t>m——测试点数量；</w:t>
      </w:r>
    </w:p>
    <w:p>
      <w:pPr>
        <w:widowControl/>
        <w:tabs>
          <w:tab w:val="center" w:pos="4201"/>
          <w:tab w:val="right" w:leader="dot" w:pos="9298"/>
        </w:tabs>
        <w:spacing w:line="320" w:lineRule="exact"/>
        <w:ind w:left="420" w:leftChars="200"/>
        <w:rPr>
          <w:rFonts w:ascii="Times New Roman" w:hAnsi="Times New Roman"/>
          <w:kern w:val="0"/>
          <w:szCs w:val="20"/>
        </w:rPr>
      </w:pPr>
      <w:r>
        <w:rPr>
          <w:rFonts w:ascii="Times New Roman" w:hAnsi="Times New Roman"/>
          <w:kern w:val="0"/>
          <w:szCs w:val="20"/>
        </w:rPr>
        <w:t>i——测试点序号；</w:t>
      </w:r>
    </w:p>
    <w:p>
      <w:pPr>
        <w:widowControl/>
        <w:tabs>
          <w:tab w:val="center" w:pos="4201"/>
          <w:tab w:val="right" w:leader="dot" w:pos="9298"/>
        </w:tabs>
        <w:spacing w:line="320" w:lineRule="exact"/>
        <w:ind w:left="420" w:leftChars="200"/>
        <w:rPr>
          <w:rFonts w:ascii="Times New Roman" w:hAnsi="Times New Roman"/>
          <w:kern w:val="0"/>
          <w:szCs w:val="20"/>
        </w:rPr>
      </w:pPr>
      <w:r>
        <w:rPr>
          <w:rFonts w:ascii="Times New Roman" w:hAnsi="Times New Roman"/>
          <w:kern w:val="0"/>
          <w:szCs w:val="20"/>
        </w:rPr>
        <w:t>E</w:t>
      </w:r>
      <w:r>
        <w:rPr>
          <w:rFonts w:ascii="Times New Roman" w:hAnsi="Times New Roman"/>
          <w:kern w:val="0"/>
          <w:szCs w:val="20"/>
          <w:vertAlign w:val="subscript"/>
        </w:rPr>
        <w:t>i</w:t>
      </w:r>
      <w:r>
        <w:rPr>
          <w:rFonts w:ascii="Times New Roman" w:hAnsi="Times New Roman"/>
          <w:kern w:val="0"/>
          <w:szCs w:val="20"/>
        </w:rPr>
        <w:t>——测试点i的光照度，单位为勒克斯（lux）。</w:t>
      </w:r>
    </w:p>
    <w:p>
      <w:pPr>
        <w:pStyle w:val="67"/>
        <w:ind w:firstLine="420"/>
      </w:pPr>
    </w:p>
    <w:p>
      <w:pPr>
        <w:pStyle w:val="67"/>
        <w:ind w:firstLine="420"/>
      </w:pPr>
    </w:p>
    <w:p>
      <w:pPr>
        <w:pStyle w:val="67"/>
        <w:ind w:firstLine="420"/>
      </w:pPr>
    </w:p>
    <w:p>
      <w:pPr>
        <w:pStyle w:val="67"/>
        <w:ind w:firstLine="420"/>
      </w:pPr>
    </w:p>
    <w:p>
      <w:pPr>
        <w:pStyle w:val="67"/>
        <w:ind w:firstLine="420"/>
      </w:pPr>
    </w:p>
    <w:p>
      <w:pPr>
        <w:pStyle w:val="67"/>
        <w:ind w:firstLine="420"/>
        <w:sectPr>
          <w:headerReference r:id="rId31" w:type="default"/>
          <w:footerReference r:id="rId33" w:type="default"/>
          <w:headerReference r:id="rId32" w:type="even"/>
          <w:footerReference r:id="rId34" w:type="even"/>
          <w:pgSz w:w="11906" w:h="16838"/>
          <w:pgMar w:top="1871" w:right="1134" w:bottom="1134" w:left="1134" w:header="1418" w:footer="1134" w:gutter="284"/>
          <w:cols w:space="425" w:num="1"/>
          <w:formProt w:val="0"/>
          <w:docGrid w:type="lines" w:linePitch="312" w:charSpace="0"/>
        </w:sectPr>
      </w:pPr>
    </w:p>
    <w:p>
      <w:pPr>
        <w:pStyle w:val="209"/>
        <w:rPr>
          <w:vanish w:val="0"/>
        </w:rPr>
      </w:pPr>
    </w:p>
    <w:p>
      <w:pPr>
        <w:pStyle w:val="210"/>
        <w:rPr>
          <w:vanish w:val="0"/>
        </w:rPr>
      </w:pPr>
    </w:p>
    <w:p>
      <w:pPr>
        <w:pStyle w:val="87"/>
        <w:spacing w:before="78" w:after="156"/>
      </w:pPr>
      <w:r>
        <w:br w:type="textWrapping"/>
      </w:r>
      <w:bookmarkStart w:id="214" w:name="_Toc67426334"/>
      <w:bookmarkStart w:id="215" w:name="_Toc67317839"/>
      <w:bookmarkStart w:id="216" w:name="_Toc67430102"/>
      <w:bookmarkStart w:id="217" w:name="_Toc67429554"/>
      <w:bookmarkStart w:id="218" w:name="_Toc66814526"/>
      <w:bookmarkStart w:id="219" w:name="_Toc65063279"/>
      <w:bookmarkStart w:id="220" w:name="_Toc67318113"/>
      <w:bookmarkStart w:id="221" w:name="_Toc66866034"/>
      <w:bookmarkStart w:id="222" w:name="_Toc66815980"/>
      <w:bookmarkStart w:id="223" w:name="_Toc67429518"/>
      <w:bookmarkStart w:id="224" w:name="_Toc67317895"/>
      <w:bookmarkStart w:id="225" w:name="_Toc65063255"/>
      <w:r>
        <w:rPr>
          <w:rFonts w:hint="eastAsia"/>
        </w:rPr>
        <w:t>（规范性）</w:t>
      </w:r>
      <w:r>
        <w:br w:type="textWrapping"/>
      </w:r>
      <w:r>
        <w:rPr>
          <w:rFonts w:hint="eastAsia"/>
        </w:rPr>
        <w:t>气味降低度试验方法</w:t>
      </w:r>
      <w:bookmarkEnd w:id="214"/>
      <w:bookmarkEnd w:id="215"/>
      <w:bookmarkEnd w:id="216"/>
      <w:bookmarkEnd w:id="217"/>
      <w:bookmarkEnd w:id="218"/>
      <w:bookmarkEnd w:id="219"/>
      <w:bookmarkEnd w:id="220"/>
      <w:bookmarkEnd w:id="221"/>
      <w:bookmarkEnd w:id="222"/>
      <w:bookmarkEnd w:id="223"/>
      <w:bookmarkEnd w:id="224"/>
      <w:bookmarkEnd w:id="225"/>
    </w:p>
    <w:p>
      <w:pPr>
        <w:pStyle w:val="67"/>
        <w:ind w:firstLine="420"/>
      </w:pPr>
    </w:p>
    <w:p>
      <w:pPr>
        <w:pStyle w:val="190"/>
      </w:pPr>
      <w:r>
        <w:rPr>
          <w:rFonts w:hint="eastAsia"/>
        </w:rPr>
        <w:t>本试验方法用于试验外排式器具瞬时排除异常气味的能力和循环式器具对异常气味的净化效果。</w:t>
      </w:r>
    </w:p>
    <w:p>
      <w:pPr>
        <w:pStyle w:val="89"/>
        <w:spacing w:before="156" w:after="156"/>
      </w:pPr>
      <w:bookmarkStart w:id="226" w:name="_Toc65063256"/>
      <w:r>
        <w:rPr>
          <w:rFonts w:hint="eastAsia"/>
        </w:rPr>
        <w:t>试验装置</w:t>
      </w:r>
      <w:bookmarkEnd w:id="226"/>
    </w:p>
    <w:p>
      <w:pPr>
        <w:pStyle w:val="90"/>
        <w:spacing w:before="156" w:after="156"/>
      </w:pPr>
      <w:r>
        <w:rPr>
          <w:rFonts w:hint="eastAsia"/>
        </w:rPr>
        <w:t>模拟厨房实验室</w:t>
      </w:r>
    </w:p>
    <w:p>
      <w:pPr>
        <w:pStyle w:val="67"/>
        <w:autoSpaceDE/>
        <w:autoSpaceDN/>
        <w:ind w:firstLine="420"/>
      </w:pPr>
      <w:r>
        <w:rPr>
          <w:rFonts w:hint="eastAsia"/>
        </w:rPr>
        <w:t>本试验在密封性能较高的模拟厨房实验室内进行（以下简称实验室），实验室长×宽×高为：3.5</w:t>
      </w:r>
      <w:r>
        <w:t> </w:t>
      </w:r>
      <w:r>
        <w:rPr>
          <w:rFonts w:hint="eastAsia"/>
        </w:rPr>
        <w:t>m×2.5</w:t>
      </w:r>
      <w:r>
        <w:t> </w:t>
      </w:r>
      <w:r>
        <w:rPr>
          <w:rFonts w:hint="eastAsia"/>
        </w:rPr>
        <w:t>m×2.5</w:t>
      </w:r>
      <w:r>
        <w:t> </w:t>
      </w:r>
      <w:r>
        <w:rPr>
          <w:rFonts w:hint="eastAsia"/>
        </w:rPr>
        <w:t>m，体积：(22±2)m</w:t>
      </w:r>
      <w:r>
        <w:rPr>
          <w:vertAlign w:val="superscript"/>
        </w:rPr>
        <w:t>3</w:t>
      </w:r>
      <w:r>
        <w:t>。</w:t>
      </w:r>
      <w:r>
        <w:rPr>
          <w:rFonts w:hint="eastAsia"/>
        </w:rPr>
        <w:t>实验室墙壁应不受丁酮（MEK）的影响。</w:t>
      </w:r>
    </w:p>
    <w:p>
      <w:pPr>
        <w:pStyle w:val="67"/>
        <w:autoSpaceDE/>
        <w:autoSpaceDN/>
        <w:ind w:firstLine="420"/>
      </w:pPr>
      <w:r>
        <w:t>被测器具</w:t>
      </w:r>
      <w:r>
        <w:rPr>
          <w:rFonts w:hint="eastAsia"/>
        </w:rPr>
        <w:t>应安装在实验室长度为3.5</w:t>
      </w:r>
      <w:r>
        <w:t> </w:t>
      </w:r>
      <w:r>
        <w:rPr>
          <w:rFonts w:hint="eastAsia"/>
        </w:rPr>
        <w:t>m的墙壁中线位置，并按图</w:t>
      </w:r>
      <w:r>
        <w:t>E</w:t>
      </w:r>
      <w:r>
        <w:rPr>
          <w:rFonts w:hint="eastAsia"/>
        </w:rPr>
        <w:t>.1和图</w:t>
      </w:r>
      <w:r>
        <w:t>E.2</w:t>
      </w:r>
      <w:r>
        <w:rPr>
          <w:rFonts w:hint="eastAsia"/>
        </w:rPr>
        <w:t>布置橱柜。其下方的灶台工作台上，设置功率为2</w:t>
      </w:r>
      <w:r>
        <w:t> </w:t>
      </w:r>
      <w:r>
        <w:rPr>
          <w:rFonts w:hint="eastAsia"/>
        </w:rPr>
        <w:t>000</w:t>
      </w:r>
      <w:r>
        <w:t> </w:t>
      </w:r>
      <w:r>
        <w:rPr>
          <w:rFonts w:hint="eastAsia"/>
        </w:rPr>
        <w:t>W的电炉。为确保电炉的正确放置，必要时可拆除其他烹饪烟气吸排装置的锅支架和燃烧器等活动部件。</w:t>
      </w:r>
    </w:p>
    <w:p>
      <w:pPr>
        <w:pStyle w:val="67"/>
        <w:autoSpaceDE/>
        <w:autoSpaceDN/>
        <w:ind w:firstLine="420"/>
      </w:pPr>
    </w:p>
    <w:p>
      <w:pPr>
        <w:pStyle w:val="67"/>
        <w:ind w:firstLine="360"/>
        <w:jc w:val="right"/>
        <w:rPr>
          <w:sz w:val="18"/>
        </w:rPr>
      </w:pPr>
      <w:r>
        <w:rPr>
          <w:rFonts w:hint="eastAsia"/>
          <w:sz w:val="18"/>
        </w:rPr>
        <w:t>单位为毫米</w:t>
      </w:r>
    </w:p>
    <w:p>
      <w:pPr>
        <w:pStyle w:val="67"/>
        <w:autoSpaceDE/>
        <w:autoSpaceDN/>
        <w:ind w:firstLine="360"/>
        <w:jc w:val="center"/>
      </w:pPr>
      <w:r>
        <w:rPr>
          <w:color w:val="000000"/>
          <w:sz w:val="18"/>
          <w:szCs w:val="18"/>
        </w:rPr>
        <w:drawing>
          <wp:inline distT="0" distB="0" distL="0" distR="0">
            <wp:extent cx="5469890" cy="387540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43">
                      <a:extLst>
                        <a:ext uri="{28A0092B-C50C-407E-A947-70E740481C1C}">
                          <a14:useLocalDpi xmlns:a14="http://schemas.microsoft.com/office/drawing/2010/main" val="0"/>
                        </a:ext>
                      </a:extLst>
                    </a:blip>
                    <a:srcRect r="3767"/>
                    <a:stretch>
                      <a:fillRect/>
                    </a:stretch>
                  </pic:blipFill>
                  <pic:spPr>
                    <a:xfrm>
                      <a:off x="0" y="0"/>
                      <a:ext cx="5470413" cy="3876218"/>
                    </a:xfrm>
                    <a:prstGeom prst="rect">
                      <a:avLst/>
                    </a:prstGeom>
                    <a:noFill/>
                    <a:ln>
                      <a:noFill/>
                    </a:ln>
                  </pic:spPr>
                </pic:pic>
              </a:graphicData>
            </a:graphic>
          </wp:inline>
        </w:drawing>
      </w:r>
    </w:p>
    <w:p>
      <w:pPr>
        <w:pStyle w:val="94"/>
        <w:numPr>
          <w:ilvl w:val="0"/>
          <w:numId w:val="0"/>
        </w:numPr>
        <w:spacing w:before="156" w:after="156"/>
        <w:ind w:left="420"/>
      </w:pPr>
      <w:r>
        <w:rPr>
          <w:rFonts w:hint="eastAsia"/>
        </w:rPr>
        <w:t>图</w:t>
      </w:r>
      <w:r>
        <w:t>E</w:t>
      </w:r>
      <w:r>
        <w:rPr>
          <w:rFonts w:hint="eastAsia"/>
        </w:rPr>
        <w:t>.1 吸油烟机用气味降低度模拟厨房实验室</w:t>
      </w:r>
    </w:p>
    <w:p>
      <w:pPr>
        <w:pStyle w:val="67"/>
        <w:autoSpaceDE/>
        <w:autoSpaceDN/>
        <w:ind w:firstLine="420"/>
      </w:pPr>
      <w:r>
        <w:rPr>
          <w:rFonts w:hint="eastAsia"/>
        </w:rPr>
        <w:t>外排式吸油烟机进行试验时，出风口接制造商随机提供的排风管后，经出风口垂直上方的墙洞通向室外自由空间；外排式其他烹饪烟气吸排装置进行试验时，若被测器具有两个或多个用于连接管道的出风口可供选择，按出厂时设置的出风口进行试验，否则应对所有出风口进行试验。出风口接制造商随机提供的排风管后，经出风口水平方向的墙洞通向室外自由空间；循环式器具进行试验时，应将墙洞封闭。</w:t>
      </w:r>
    </w:p>
    <w:p>
      <w:pPr>
        <w:pStyle w:val="67"/>
        <w:autoSpaceDE/>
        <w:autoSpaceDN/>
        <w:ind w:firstLine="420"/>
      </w:pPr>
      <w:r>
        <w:rPr>
          <w:rFonts w:hint="eastAsia"/>
        </w:rPr>
        <w:t>器具对面墙壁上可设置封闭式玻璃观察窗，以随时观察试验状态。在观察窗下方设置可开启和关闭的通风窗（700</w:t>
      </w:r>
      <w:r>
        <w:t> </w:t>
      </w:r>
      <w:r>
        <w:rPr>
          <w:rFonts w:hint="eastAsia"/>
        </w:rPr>
        <w:t>mm×350</w:t>
      </w:r>
      <w:r>
        <w:t> </w:t>
      </w:r>
      <w:r>
        <w:rPr>
          <w:rFonts w:hint="eastAsia"/>
        </w:rPr>
        <w:t>mm）。通风窗和门在关闭时的密封性应良好，密封性要求按</w:t>
      </w:r>
      <w:r>
        <w:t>D</w:t>
      </w:r>
      <w:r>
        <w:rPr>
          <w:rFonts w:hint="eastAsia"/>
        </w:rPr>
        <w:t>.2.1。</w:t>
      </w:r>
    </w:p>
    <w:p>
      <w:pPr>
        <w:pStyle w:val="67"/>
        <w:autoSpaceDE/>
        <w:autoSpaceDN/>
        <w:ind w:firstLine="420"/>
      </w:pPr>
      <w:r>
        <w:rPr>
          <w:rFonts w:hint="eastAsia"/>
        </w:rPr>
        <w:t>实验室正中位置需放置流量为(250±50）m</w:t>
      </w:r>
      <w:r>
        <w:rPr>
          <w:rFonts w:hint="eastAsia"/>
          <w:vertAlign w:val="superscript"/>
        </w:rPr>
        <w:t>3</w:t>
      </w:r>
      <w:r>
        <w:rPr>
          <w:rFonts w:hint="eastAsia"/>
        </w:rPr>
        <w:t>/h的风扇，以辅助气味均匀扩散至整个实验室内。</w:t>
      </w:r>
    </w:p>
    <w:p>
      <w:pPr>
        <w:pStyle w:val="191"/>
      </w:pPr>
      <w:r>
        <w:rPr>
          <w:rFonts w:hint="eastAsia"/>
        </w:rPr>
        <w:t>试验人员接触丁酮（MEK）时，要配备必要的防护；</w:t>
      </w:r>
    </w:p>
    <w:p>
      <w:pPr>
        <w:pStyle w:val="191"/>
      </w:pPr>
      <w:r>
        <w:rPr>
          <w:rFonts w:hint="eastAsia"/>
        </w:rPr>
        <w:t>在进行外排式吸油烟机试验时，须防止室外已被丁酮（MEK）污染的空气再次通过通风窗进入实验室内；</w:t>
      </w:r>
    </w:p>
    <w:p>
      <w:pPr>
        <w:pStyle w:val="191"/>
      </w:pPr>
      <w:r>
        <w:rPr>
          <w:rFonts w:hint="eastAsia"/>
        </w:rPr>
        <w:t>实验室内布置的橱柜应密封不至流入实验室内的气体。</w:t>
      </w:r>
    </w:p>
    <w:p>
      <w:pPr>
        <w:pStyle w:val="67"/>
        <w:ind w:firstLine="360"/>
        <w:jc w:val="right"/>
        <w:rPr>
          <w:sz w:val="18"/>
        </w:rPr>
      </w:pPr>
      <w:r>
        <w:rPr>
          <w:rFonts w:hint="eastAsia"/>
          <w:sz w:val="18"/>
        </w:rPr>
        <w:t>单位为毫米</w:t>
      </w:r>
    </w:p>
    <w:p>
      <w:pPr>
        <w:pStyle w:val="67"/>
        <w:ind w:firstLine="420"/>
        <w:jc w:val="center"/>
      </w:pPr>
      <w:r>
        <w:drawing>
          <wp:inline distT="0" distB="0" distL="0" distR="0">
            <wp:extent cx="5731510" cy="443420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4"/>
                    <a:stretch>
                      <a:fillRect/>
                    </a:stretch>
                  </pic:blipFill>
                  <pic:spPr>
                    <a:xfrm>
                      <a:off x="0" y="0"/>
                      <a:ext cx="5733729" cy="4435676"/>
                    </a:xfrm>
                    <a:prstGeom prst="rect">
                      <a:avLst/>
                    </a:prstGeom>
                  </pic:spPr>
                </pic:pic>
              </a:graphicData>
            </a:graphic>
          </wp:inline>
        </w:drawing>
      </w:r>
    </w:p>
    <w:p>
      <w:pPr>
        <w:pStyle w:val="297"/>
        <w:numPr>
          <w:ilvl w:val="1"/>
          <w:numId w:val="0"/>
        </w:numPr>
        <w:spacing w:before="156" w:after="156"/>
      </w:pPr>
      <w:r>
        <w:t>图E</w:t>
      </w:r>
      <w:r>
        <w:rPr>
          <w:rFonts w:hint="eastAsia"/>
        </w:rPr>
        <w:t>.</w:t>
      </w:r>
      <w:r>
        <w:t xml:space="preserve">2 </w:t>
      </w:r>
      <w:r>
        <w:rPr>
          <w:rFonts w:hint="eastAsia"/>
        </w:rPr>
        <w:t>其他烟气吸排装置气味降低度模拟厨房实验室</w:t>
      </w:r>
    </w:p>
    <w:p>
      <w:pPr>
        <w:pStyle w:val="90"/>
        <w:spacing w:before="156" w:after="156"/>
      </w:pPr>
      <w:r>
        <w:rPr>
          <w:rFonts w:hint="eastAsia"/>
        </w:rPr>
        <w:t>温控系统</w:t>
      </w:r>
    </w:p>
    <w:p>
      <w:pPr>
        <w:pStyle w:val="67"/>
        <w:autoSpaceDE/>
        <w:autoSpaceDN/>
        <w:ind w:firstLine="420"/>
      </w:pPr>
      <w:r>
        <w:rPr>
          <w:rFonts w:hint="eastAsia"/>
        </w:rPr>
        <w:t>通过工作台上设置的电炉为试验锅加热，用热电偶来检测锅底温度，并通过温控系统的自动监制，使试验过程中锅底温度始终保持在（170±10）℃。</w:t>
      </w:r>
    </w:p>
    <w:p>
      <w:pPr>
        <w:pStyle w:val="67"/>
        <w:autoSpaceDE/>
        <w:autoSpaceDN/>
        <w:ind w:firstLine="420"/>
      </w:pPr>
      <w:r>
        <w:rPr>
          <w:rFonts w:hint="eastAsia"/>
        </w:rPr>
        <w:t>试验锅为表面无涂层的平底铝锅，材质牌号为5A06（LF6），直径（200±2）mm、高度125</w:t>
      </w:r>
      <w:r>
        <w:t> </w:t>
      </w:r>
      <w:r>
        <w:rPr>
          <w:rFonts w:hint="eastAsia"/>
        </w:rPr>
        <w:t>mm、锅底厚度12</w:t>
      </w:r>
      <w:r>
        <w:t> </w:t>
      </w:r>
      <w:r>
        <w:rPr>
          <w:rFonts w:hint="eastAsia"/>
        </w:rPr>
        <w:t>mm。试验锅及热电偶的安装位置、尺寸要求参照图</w:t>
      </w:r>
      <w:r>
        <w:t>D</w:t>
      </w:r>
      <w:r>
        <w:rPr>
          <w:rFonts w:hint="eastAsia"/>
        </w:rPr>
        <w:t>.</w:t>
      </w:r>
      <w:r>
        <w:t>3</w:t>
      </w:r>
      <w:r>
        <w:rPr>
          <w:rFonts w:hint="eastAsia"/>
        </w:rPr>
        <w:t>。电炉发热盘直径应与试验锅直径相等。</w:t>
      </w:r>
    </w:p>
    <w:p>
      <w:pPr>
        <w:pStyle w:val="67"/>
        <w:ind w:firstLine="360"/>
        <w:jc w:val="right"/>
        <w:rPr>
          <w:sz w:val="18"/>
        </w:rPr>
      </w:pPr>
    </w:p>
    <w:p>
      <w:pPr>
        <w:pStyle w:val="67"/>
        <w:ind w:firstLine="360"/>
        <w:jc w:val="right"/>
        <w:rPr>
          <w:sz w:val="18"/>
        </w:rPr>
      </w:pPr>
    </w:p>
    <w:p>
      <w:pPr>
        <w:pStyle w:val="67"/>
        <w:ind w:firstLine="360"/>
        <w:jc w:val="right"/>
        <w:rPr>
          <w:sz w:val="18"/>
        </w:rPr>
      </w:pPr>
    </w:p>
    <w:p>
      <w:pPr>
        <w:pStyle w:val="67"/>
        <w:ind w:firstLine="360"/>
        <w:jc w:val="right"/>
        <w:rPr>
          <w:sz w:val="18"/>
        </w:rPr>
      </w:pPr>
    </w:p>
    <w:p>
      <w:pPr>
        <w:pStyle w:val="67"/>
        <w:ind w:firstLine="360"/>
        <w:jc w:val="right"/>
        <w:rPr>
          <w:sz w:val="18"/>
        </w:rPr>
      </w:pPr>
    </w:p>
    <w:p>
      <w:pPr>
        <w:pStyle w:val="67"/>
        <w:ind w:firstLine="360"/>
        <w:jc w:val="right"/>
        <w:rPr>
          <w:sz w:val="18"/>
        </w:rPr>
      </w:pPr>
      <w:r>
        <w:rPr>
          <w:rFonts w:hint="eastAsia"/>
          <w:sz w:val="18"/>
        </w:rPr>
        <w:t>单位为毫米</w:t>
      </w:r>
    </w:p>
    <w:p>
      <w:pPr>
        <w:pStyle w:val="67"/>
        <w:ind w:firstLine="0" w:firstLineChars="0"/>
        <w:jc w:val="center"/>
      </w:pPr>
      <w:r>
        <w:drawing>
          <wp:inline distT="0" distB="0" distL="0" distR="0">
            <wp:extent cx="5939790" cy="384937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5"/>
                    <a:stretch>
                      <a:fillRect/>
                    </a:stretch>
                  </pic:blipFill>
                  <pic:spPr>
                    <a:xfrm>
                      <a:off x="0" y="0"/>
                      <a:ext cx="5939790" cy="3849370"/>
                    </a:xfrm>
                    <a:prstGeom prst="rect">
                      <a:avLst/>
                    </a:prstGeom>
                  </pic:spPr>
                </pic:pic>
              </a:graphicData>
            </a:graphic>
          </wp:inline>
        </w:drawing>
      </w:r>
    </w:p>
    <w:p>
      <w:pPr>
        <w:pStyle w:val="94"/>
        <w:numPr>
          <w:ilvl w:val="0"/>
          <w:numId w:val="0"/>
        </w:numPr>
        <w:spacing w:before="156" w:after="156"/>
      </w:pPr>
      <w:r>
        <w:rPr>
          <w:rFonts w:hint="eastAsia"/>
        </w:rPr>
        <w:t>图</w:t>
      </w:r>
      <w:r>
        <w:t>E.3</w:t>
      </w:r>
      <w:r>
        <w:rPr>
          <w:rFonts w:hint="eastAsia"/>
        </w:rPr>
        <w:t xml:space="preserve"> 试验用平底锅</w:t>
      </w:r>
    </w:p>
    <w:p>
      <w:pPr>
        <w:pStyle w:val="90"/>
        <w:spacing w:before="156" w:after="156"/>
      </w:pPr>
      <w:r>
        <w:rPr>
          <w:rFonts w:hint="eastAsia"/>
        </w:rPr>
        <w:t>滴液系统</w:t>
      </w:r>
    </w:p>
    <w:p>
      <w:pPr>
        <w:pStyle w:val="67"/>
        <w:autoSpaceDE/>
        <w:autoSpaceDN/>
        <w:ind w:firstLine="420"/>
      </w:pPr>
      <w:r>
        <w:rPr>
          <w:rFonts w:hint="eastAsia"/>
        </w:rPr>
        <w:t>滴液系统用于定时、定量向电炉上加热至（170±</w:t>
      </w:r>
      <w:r>
        <w:t>5</w:t>
      </w:r>
      <w:r>
        <w:rPr>
          <w:rFonts w:hint="eastAsia"/>
        </w:rPr>
        <w:t>）℃ 的试验锅滴液。试验锅的位置按图</w:t>
      </w:r>
      <w:r>
        <w:t>D</w:t>
      </w:r>
      <w:r>
        <w:rPr>
          <w:rFonts w:hint="eastAsia"/>
        </w:rPr>
        <w:t>.1（适用于吸油烟机）或图</w:t>
      </w:r>
      <w:r>
        <w:t>E</w:t>
      </w:r>
      <w:r>
        <w:rPr>
          <w:rFonts w:hint="eastAsia"/>
        </w:rPr>
        <w:t>.2（适用于其他烹饪烟气吸排装置），滴头与锅底的距离为（225±5）mm。滴液为（300±1）g的室温蒸馏水和（12±0.1）g丁酮（分析纯）的混合液。全部混合液需在30</w:t>
      </w:r>
      <w:r>
        <w:t> </w:t>
      </w:r>
      <w:r>
        <w:rPr>
          <w:rFonts w:hint="eastAsia"/>
        </w:rPr>
        <w:t>min±15</w:t>
      </w:r>
      <w:r>
        <w:t> </w:t>
      </w:r>
      <w:r>
        <w:rPr>
          <w:rFonts w:hint="eastAsia"/>
        </w:rPr>
        <w:t>s内匀速滴完，计量结束最迟1 min平底锅中的混合液应全部蒸发完毕。</w:t>
      </w:r>
    </w:p>
    <w:p>
      <w:pPr>
        <w:pStyle w:val="90"/>
        <w:spacing w:before="156" w:after="156"/>
      </w:pPr>
      <w:r>
        <w:rPr>
          <w:rFonts w:hint="eastAsia"/>
        </w:rPr>
        <w:t>采样系统</w:t>
      </w:r>
    </w:p>
    <w:p>
      <w:pPr>
        <w:pStyle w:val="67"/>
        <w:autoSpaceDE/>
        <w:autoSpaceDN/>
        <w:ind w:firstLine="420"/>
      </w:pPr>
      <w:r>
        <w:rPr>
          <w:rFonts w:hint="eastAsia"/>
        </w:rPr>
        <w:t>按图</w:t>
      </w:r>
      <w:r>
        <w:t>E</w:t>
      </w:r>
      <w:r>
        <w:rPr>
          <w:rFonts w:hint="eastAsia"/>
        </w:rPr>
        <w:t>.1（适用于吸油烟机）或图</w:t>
      </w:r>
      <w:r>
        <w:t>E</w:t>
      </w:r>
      <w:r>
        <w:rPr>
          <w:rFonts w:hint="eastAsia"/>
        </w:rPr>
        <w:t>.2（适用于其他烹饪烟气吸排装置）规定的采样位置，垂直于地面每隔500</w:t>
      </w:r>
      <w:r>
        <w:t> </w:t>
      </w:r>
      <w:r>
        <w:rPr>
          <w:rFonts w:hint="eastAsia"/>
        </w:rPr>
        <w:t>mm等间距布置四个采样点，用四根等长、内径为2.5</w:t>
      </w:r>
      <w:r>
        <w:t> </w:t>
      </w:r>
      <w:r>
        <w:rPr>
          <w:rFonts w:hint="eastAsia"/>
        </w:rPr>
        <w:t>mm聚四氟乙烯（PTFE）管分别固定于四个采样点，四个采样管每两根通过三通汇合，最终汇合成一根总管后，通过采样器完成采样，并经分析仪器进行浓度的测定。每次采样应保证相等的采样量或相同的采样时间。采样时，应待室内的气体搅拌均匀，将风扇关闭后再实施采样，并记录下稳定的数值。</w:t>
      </w:r>
    </w:p>
    <w:p>
      <w:pPr>
        <w:pStyle w:val="89"/>
        <w:spacing w:before="156" w:after="156"/>
      </w:pPr>
      <w:bookmarkStart w:id="227" w:name="_Toc65063257"/>
      <w:r>
        <w:rPr>
          <w:rFonts w:hint="eastAsia"/>
        </w:rPr>
        <w:t>试验条件</w:t>
      </w:r>
      <w:bookmarkEnd w:id="227"/>
    </w:p>
    <w:p>
      <w:pPr>
        <w:pStyle w:val="90"/>
        <w:spacing w:before="156" w:after="156"/>
      </w:pPr>
      <w:r>
        <w:rPr>
          <w:rFonts w:hint="eastAsia"/>
        </w:rPr>
        <w:t>环境条件</w:t>
      </w:r>
    </w:p>
    <w:p>
      <w:pPr>
        <w:pStyle w:val="67"/>
        <w:ind w:firstLine="420"/>
      </w:pPr>
      <w:r>
        <w:rPr>
          <w:rFonts w:hint="eastAsia"/>
        </w:rPr>
        <w:t>初始环境应达到下述条件后方可进行试验：</w:t>
      </w:r>
    </w:p>
    <w:p>
      <w:pPr>
        <w:pStyle w:val="185"/>
        <w:numPr>
          <w:ilvl w:val="0"/>
          <w:numId w:val="50"/>
        </w:numPr>
      </w:pPr>
      <w:r>
        <w:rPr>
          <w:rFonts w:hint="eastAsia"/>
        </w:rPr>
        <w:t>环境温度：20</w:t>
      </w:r>
      <w:r>
        <w:t> </w:t>
      </w:r>
      <w:r>
        <w:rPr>
          <w:rFonts w:hint="eastAsia"/>
        </w:rPr>
        <w:t>℃±5</w:t>
      </w:r>
      <w:r>
        <w:t> </w:t>
      </w:r>
      <w:r>
        <w:rPr>
          <w:rFonts w:hint="eastAsia"/>
        </w:rPr>
        <w:t>℃；</w:t>
      </w:r>
    </w:p>
    <w:p>
      <w:pPr>
        <w:pStyle w:val="185"/>
      </w:pPr>
      <w:r>
        <w:rPr>
          <w:rFonts w:hint="eastAsia"/>
        </w:rPr>
        <w:t>相对湿度：40</w:t>
      </w:r>
      <w:r>
        <w:t> </w:t>
      </w:r>
      <w:r>
        <w:rPr>
          <w:rFonts w:hint="eastAsia"/>
        </w:rPr>
        <w:t>%～70</w:t>
      </w:r>
      <w:r>
        <w:t> </w:t>
      </w:r>
      <w:r>
        <w:rPr>
          <w:rFonts w:hint="eastAsia"/>
        </w:rPr>
        <w:t xml:space="preserve">%； </w:t>
      </w:r>
    </w:p>
    <w:p>
      <w:pPr>
        <w:pStyle w:val="185"/>
        <w:ind w:left="850" w:hanging="425"/>
      </w:pPr>
      <w:r>
        <w:rPr>
          <w:rFonts w:hint="eastAsia"/>
        </w:rPr>
        <w:t>大气压力：86</w:t>
      </w:r>
      <w:r>
        <w:t> </w:t>
      </w:r>
      <w:r>
        <w:rPr>
          <w:rFonts w:hint="eastAsia"/>
        </w:rPr>
        <w:t>kPa～106</w:t>
      </w:r>
      <w:r>
        <w:t> </w:t>
      </w:r>
      <w:r>
        <w:rPr>
          <w:rFonts w:hint="eastAsia"/>
        </w:rPr>
        <w:t xml:space="preserve">kPa。 </w:t>
      </w:r>
    </w:p>
    <w:p>
      <w:pPr>
        <w:pStyle w:val="90"/>
        <w:spacing w:before="156" w:after="156"/>
      </w:pPr>
      <w:r>
        <w:rPr>
          <w:rFonts w:hint="eastAsia"/>
        </w:rPr>
        <w:t>实验室的密封性要求</w:t>
      </w:r>
    </w:p>
    <w:p>
      <w:pPr>
        <w:pStyle w:val="67"/>
        <w:autoSpaceDE/>
        <w:autoSpaceDN/>
        <w:ind w:firstLine="420"/>
      </w:pPr>
      <w:r>
        <w:rPr>
          <w:rFonts w:hint="eastAsia"/>
        </w:rPr>
        <w:t>封闭实验室的通风窗、门以及出风口墙洞之后，按</w:t>
      </w:r>
      <w:r>
        <w:t>E</w:t>
      </w:r>
      <w:r>
        <w:rPr>
          <w:rFonts w:hint="eastAsia"/>
        </w:rPr>
        <w:t>.l.2调整好温度，按</w:t>
      </w:r>
      <w:r>
        <w:t>E</w:t>
      </w:r>
      <w:r>
        <w:rPr>
          <w:rFonts w:hint="eastAsia"/>
        </w:rPr>
        <w:t>.1.3滴液，按</w:t>
      </w:r>
      <w:r>
        <w:t>E</w:t>
      </w:r>
      <w:r>
        <w:rPr>
          <w:rFonts w:hint="eastAsia"/>
        </w:rPr>
        <w:t>.l.4进行采样，测得最大气味浓度。1h之后，按</w:t>
      </w:r>
      <w:r>
        <w:t>E</w:t>
      </w:r>
      <w:r>
        <w:rPr>
          <w:rFonts w:hint="eastAsia"/>
        </w:rPr>
        <w:t>.l.4重复采样测出1</w:t>
      </w:r>
      <w:r>
        <w:t> </w:t>
      </w:r>
      <w:r>
        <w:rPr>
          <w:rFonts w:hint="eastAsia"/>
        </w:rPr>
        <w:t>h后的气味浓度，其下降值应不大于5</w:t>
      </w:r>
      <w:r>
        <w:t> </w:t>
      </w:r>
      <w:r>
        <w:rPr>
          <w:rFonts w:hint="eastAsia"/>
        </w:rPr>
        <w:t>%。</w:t>
      </w:r>
    </w:p>
    <w:p>
      <w:pPr>
        <w:pStyle w:val="90"/>
        <w:spacing w:before="156" w:after="156"/>
      </w:pPr>
      <w:r>
        <w:rPr>
          <w:rFonts w:hint="eastAsia"/>
        </w:rPr>
        <w:t>试验前实验室空气清洁度要求</w:t>
      </w:r>
    </w:p>
    <w:p>
      <w:pPr>
        <w:pStyle w:val="67"/>
        <w:ind w:firstLine="420"/>
      </w:pPr>
      <w:r>
        <w:rPr>
          <w:rFonts w:hint="eastAsia"/>
        </w:rPr>
        <w:t>上一次试验结束进入下一次试验前，应仔细地对实验室进行通风、清洁处理。处理结束，封闭实验室并进行实验室空气采样。其空气采样样品的试验结果应达到实验室原始洁净空气样品试验数据的基值。</w:t>
      </w:r>
    </w:p>
    <w:p>
      <w:pPr>
        <w:pStyle w:val="90"/>
        <w:spacing w:before="156" w:after="156"/>
      </w:pPr>
      <w:r>
        <w:rPr>
          <w:rFonts w:hint="eastAsia"/>
        </w:rPr>
        <w:t>器具的安装要求</w:t>
      </w:r>
    </w:p>
    <w:p>
      <w:pPr>
        <w:pStyle w:val="67"/>
        <w:ind w:firstLine="420"/>
      </w:pPr>
      <w:r>
        <w:rPr>
          <w:rFonts w:hint="eastAsia"/>
        </w:rPr>
        <w:t>试验时，吸油烟机最低部位与电炉发热盘表面之间的垂直距离为制造商随机提供的用户使用说明书中标识出的最小安装高度。其他烹饪烟气吸排装置按使用说明书规定的方法按照正常使用状态安装。</w:t>
      </w:r>
    </w:p>
    <w:p>
      <w:pPr>
        <w:pStyle w:val="89"/>
        <w:spacing w:before="156" w:after="156"/>
      </w:pPr>
      <w:bookmarkStart w:id="228" w:name="_Toc65063258"/>
      <w:r>
        <w:rPr>
          <w:rFonts w:hint="eastAsia"/>
        </w:rPr>
        <w:t>试验程序</w:t>
      </w:r>
      <w:bookmarkEnd w:id="228"/>
    </w:p>
    <w:p>
      <w:pPr>
        <w:pStyle w:val="90"/>
        <w:spacing w:before="156" w:after="156"/>
      </w:pPr>
      <w:r>
        <w:rPr>
          <w:rFonts w:hint="eastAsia"/>
        </w:rPr>
        <w:t>外排式器具气味降低度的测定</w:t>
      </w:r>
    </w:p>
    <w:p>
      <w:pPr>
        <w:pStyle w:val="92"/>
        <w:spacing w:before="156" w:after="156"/>
      </w:pPr>
      <w:r>
        <w:rPr>
          <w:rFonts w:hint="eastAsia"/>
        </w:rPr>
        <w:t>实验室最大气味浓度(b</w:t>
      </w:r>
      <w:r>
        <w:rPr>
          <w:vertAlign w:val="subscript"/>
        </w:rPr>
        <w:t>1</w:t>
      </w:r>
      <w:r>
        <w:t>)</w:t>
      </w:r>
      <w:r>
        <w:rPr>
          <w:rFonts w:hint="eastAsia"/>
        </w:rPr>
        <w:t>的测定</w:t>
      </w:r>
    </w:p>
    <w:p>
      <w:pPr>
        <w:pStyle w:val="67"/>
        <w:autoSpaceDE/>
        <w:autoSpaceDN/>
        <w:ind w:firstLine="420"/>
      </w:pPr>
      <w:r>
        <w:rPr>
          <w:rFonts w:hint="eastAsia"/>
        </w:rPr>
        <w:t>将实验室通风窗开启，烹饪烟气吸排装置连续运行30</w:t>
      </w:r>
      <w:r>
        <w:t> </w:t>
      </w:r>
      <w:r>
        <w:rPr>
          <w:rFonts w:hint="eastAsia"/>
        </w:rPr>
        <w:t xml:space="preserve">min进行实验室通风清洁处理，为试验作准备。试验条件应符合 </w:t>
      </w:r>
      <w:r>
        <w:t>E</w:t>
      </w:r>
      <w:r>
        <w:rPr>
          <w:rFonts w:hint="eastAsia"/>
        </w:rPr>
        <w:t>.2 要求。</w:t>
      </w:r>
    </w:p>
    <w:p>
      <w:pPr>
        <w:pStyle w:val="67"/>
        <w:autoSpaceDE/>
        <w:autoSpaceDN/>
        <w:ind w:firstLine="420"/>
      </w:pPr>
      <w:r>
        <w:rPr>
          <w:rFonts w:hint="eastAsia"/>
        </w:rPr>
        <w:t xml:space="preserve">封闭通风窗，器具停止运行，并封闭出风口墙洞，按 </w:t>
      </w:r>
      <w:r>
        <w:t>E</w:t>
      </w:r>
      <w:r>
        <w:rPr>
          <w:rFonts w:hint="eastAsia"/>
        </w:rPr>
        <w:t>.l.2 调整好平底锅内底部温度，按</w:t>
      </w:r>
      <w:r>
        <w:t>E</w:t>
      </w:r>
      <w:r>
        <w:rPr>
          <w:rFonts w:hint="eastAsia"/>
        </w:rPr>
        <w:t>.l.3滴液结束关闭温控系统后，通过放置在地板正中间的风扇搅拌10</w:t>
      </w:r>
      <w:r>
        <w:t> </w:t>
      </w:r>
      <w:r>
        <w:rPr>
          <w:rFonts w:hint="eastAsia"/>
        </w:rPr>
        <w:t xml:space="preserve">min，将溶液蒸发后的气体均匀地散布到实验室后按 </w:t>
      </w:r>
      <w:r>
        <w:t>E</w:t>
      </w:r>
      <w:r>
        <w:rPr>
          <w:rFonts w:hint="eastAsia"/>
        </w:rPr>
        <w:t>.1.4采样，测得的气味浓度为实验室最大气味浓度(b</w:t>
      </w:r>
      <w:r>
        <w:rPr>
          <w:vertAlign w:val="subscript"/>
        </w:rPr>
        <w:t>1</w:t>
      </w:r>
      <w:r>
        <w:t>)</w:t>
      </w:r>
      <w:r>
        <w:rPr>
          <w:rFonts w:hint="eastAsia"/>
        </w:rPr>
        <w:t>。</w:t>
      </w:r>
    </w:p>
    <w:p>
      <w:pPr>
        <w:pStyle w:val="92"/>
        <w:spacing w:before="156" w:after="156"/>
      </w:pPr>
      <w:r>
        <w:rPr>
          <w:rFonts w:hint="eastAsia"/>
        </w:rPr>
        <w:t>器具运转3</w:t>
      </w:r>
      <w:r>
        <w:t> </w:t>
      </w:r>
      <w:r>
        <w:rPr>
          <w:rFonts w:hint="eastAsia"/>
        </w:rPr>
        <w:t>min时实验室最大气味浓度(b</w:t>
      </w:r>
      <w:r>
        <w:rPr>
          <w:vertAlign w:val="subscript"/>
        </w:rPr>
        <w:t>2</w:t>
      </w:r>
      <w:r>
        <w:t>)</w:t>
      </w:r>
      <w:r>
        <w:rPr>
          <w:rFonts w:hint="eastAsia"/>
        </w:rPr>
        <w:t>的测定</w:t>
      </w:r>
    </w:p>
    <w:p>
      <w:pPr>
        <w:pStyle w:val="67"/>
        <w:autoSpaceDE/>
        <w:autoSpaceDN/>
        <w:ind w:firstLine="420"/>
      </w:pPr>
      <w:r>
        <w:rPr>
          <w:rFonts w:hint="eastAsia"/>
        </w:rPr>
        <w:t>测得实验室最大气味浓度(b</w:t>
      </w:r>
      <w:r>
        <w:rPr>
          <w:vertAlign w:val="subscript"/>
        </w:rPr>
        <w:t>1</w:t>
      </w:r>
      <w:r>
        <w:t>)</w:t>
      </w:r>
      <w:r>
        <w:rPr>
          <w:rFonts w:hint="eastAsia"/>
        </w:rPr>
        <w:t>后，启动器具至正常工作时的最高转速档，同时打开通风窗和出风口墙洞，待工作3</w:t>
      </w:r>
      <w:r>
        <w:t> </w:t>
      </w:r>
      <w:r>
        <w:rPr>
          <w:rFonts w:hint="eastAsia"/>
        </w:rPr>
        <w:t>min时立即关闭器具，同时关闭通风窗和出风口墙洞，通过放置在地板正中间的风扇搅拌10</w:t>
      </w:r>
      <w:r>
        <w:t> </w:t>
      </w:r>
      <w:r>
        <w:rPr>
          <w:rFonts w:hint="eastAsia"/>
        </w:rPr>
        <w:t xml:space="preserve">min，将溶液蒸发后的气体均匀地散布到实验室后按 </w:t>
      </w:r>
      <w:r>
        <w:t>E</w:t>
      </w:r>
      <w:r>
        <w:rPr>
          <w:rFonts w:hint="eastAsia"/>
        </w:rPr>
        <w:t>.1.4 采样，测得的气味浓度为烹器具开机3</w:t>
      </w:r>
      <w:r>
        <w:t> </w:t>
      </w:r>
      <w:r>
        <w:rPr>
          <w:rFonts w:hint="eastAsia"/>
        </w:rPr>
        <w:t>min 时实验室最大气味浓度(b</w:t>
      </w:r>
      <w:r>
        <w:rPr>
          <w:vertAlign w:val="subscript"/>
        </w:rPr>
        <w:t>2</w:t>
      </w:r>
      <w:r>
        <w:t>)</w:t>
      </w:r>
      <w:r>
        <w:rPr>
          <w:rFonts w:hint="eastAsia"/>
        </w:rPr>
        <w:t>。</w:t>
      </w:r>
    </w:p>
    <w:p>
      <w:pPr>
        <w:pStyle w:val="90"/>
        <w:spacing w:before="156" w:after="156"/>
      </w:pPr>
      <w:r>
        <w:rPr>
          <w:rFonts w:hint="eastAsia"/>
        </w:rPr>
        <w:t>循环式器具对异常气味净化效果的测定</w:t>
      </w:r>
    </w:p>
    <w:p>
      <w:pPr>
        <w:pStyle w:val="92"/>
        <w:spacing w:before="156" w:after="156"/>
      </w:pPr>
      <w:r>
        <w:rPr>
          <w:rFonts w:hint="eastAsia"/>
        </w:rPr>
        <w:t>实验室最大气味浓度(b</w:t>
      </w:r>
      <w:r>
        <w:rPr>
          <w:vertAlign w:val="subscript"/>
        </w:rPr>
        <w:t>1</w:t>
      </w:r>
      <w:r>
        <w:t>)</w:t>
      </w:r>
      <w:r>
        <w:rPr>
          <w:rFonts w:hint="eastAsia"/>
        </w:rPr>
        <w:t>的测定</w:t>
      </w:r>
    </w:p>
    <w:p>
      <w:pPr>
        <w:pStyle w:val="67"/>
        <w:autoSpaceDE/>
        <w:autoSpaceDN/>
        <w:ind w:firstLine="420"/>
      </w:pPr>
      <w:r>
        <w:rPr>
          <w:rFonts w:hint="eastAsia"/>
        </w:rPr>
        <w:t>在经过通风清洁处理符合</w:t>
      </w:r>
      <w:r>
        <w:t>E</w:t>
      </w:r>
      <w:r>
        <w:rPr>
          <w:rFonts w:hint="eastAsia"/>
        </w:rPr>
        <w:t>.2试验条件的实验室内，封闭门和通风窗，按</w:t>
      </w:r>
      <w:r>
        <w:t>E</w:t>
      </w:r>
      <w:r>
        <w:rPr>
          <w:rFonts w:hint="eastAsia"/>
        </w:rPr>
        <w:t xml:space="preserve">.l.2调整好平底锅内底部温度，将循环式器具的过滤器拆除后以最高转速档运转的同时，按 </w:t>
      </w:r>
      <w:r>
        <w:t>E</w:t>
      </w:r>
      <w:r>
        <w:rPr>
          <w:rFonts w:hint="eastAsia"/>
        </w:rPr>
        <w:t>.l.3滴液结束关闭温控系统后，通过放置在地板正中间的风扇搅拌10</w:t>
      </w:r>
      <w:r>
        <w:t> </w:t>
      </w:r>
      <w:r>
        <w:rPr>
          <w:rFonts w:hint="eastAsia"/>
        </w:rPr>
        <w:t>min，将溶液蒸发后的气体均匀地散布到实验室后按</w:t>
      </w:r>
      <w:r>
        <w:t>E</w:t>
      </w:r>
      <w:r>
        <w:rPr>
          <w:rFonts w:hint="eastAsia"/>
        </w:rPr>
        <w:t>.1.4采样，测得的气味浓度为实验室最大气味浓度(b</w:t>
      </w:r>
      <w:r>
        <w:rPr>
          <w:vertAlign w:val="subscript"/>
        </w:rPr>
        <w:t>1</w:t>
      </w:r>
      <w:r>
        <w:t>)</w:t>
      </w:r>
      <w:r>
        <w:rPr>
          <w:rFonts w:hint="eastAsia"/>
        </w:rPr>
        <w:t>。</w:t>
      </w:r>
    </w:p>
    <w:p>
      <w:pPr>
        <w:pStyle w:val="92"/>
        <w:spacing w:before="156" w:after="156"/>
      </w:pPr>
      <w:r>
        <w:rPr>
          <w:rFonts w:hint="eastAsia"/>
        </w:rPr>
        <w:t>器具运转30</w:t>
      </w:r>
      <w:r>
        <w:t> </w:t>
      </w:r>
      <w:r>
        <w:rPr>
          <w:rFonts w:hint="eastAsia"/>
        </w:rPr>
        <w:t>min时的实验室最大气味浓度(b</w:t>
      </w:r>
      <w:r>
        <w:rPr>
          <w:vertAlign w:val="subscript"/>
        </w:rPr>
        <w:t>3</w:t>
      </w:r>
      <w:r>
        <w:t>)</w:t>
      </w:r>
      <w:r>
        <w:rPr>
          <w:rFonts w:hint="eastAsia"/>
        </w:rPr>
        <w:t>的测定</w:t>
      </w:r>
    </w:p>
    <w:p>
      <w:pPr>
        <w:pStyle w:val="67"/>
        <w:autoSpaceDE/>
        <w:autoSpaceDN/>
        <w:ind w:firstLine="420"/>
      </w:pPr>
      <w:r>
        <w:rPr>
          <w:rFonts w:hint="eastAsia"/>
        </w:rPr>
        <w:t>试验前，需将循环式器具的全新过滤器在（50±5）℃的烘箱中放置1</w:t>
      </w:r>
      <w:r>
        <w:t>6 </w:t>
      </w:r>
      <w:r>
        <w:rPr>
          <w:rFonts w:hint="eastAsia"/>
        </w:rPr>
        <w:t>h进行干燥。</w:t>
      </w:r>
    </w:p>
    <w:p>
      <w:pPr>
        <w:pStyle w:val="67"/>
        <w:autoSpaceDE/>
        <w:autoSpaceDN/>
        <w:ind w:firstLine="420"/>
      </w:pPr>
      <w:r>
        <w:rPr>
          <w:rFonts w:hint="eastAsia"/>
        </w:rPr>
        <w:t>试验开始时，在符合</w:t>
      </w:r>
      <w:r>
        <w:t>E</w:t>
      </w:r>
      <w:r>
        <w:rPr>
          <w:rFonts w:hint="eastAsia"/>
        </w:rPr>
        <w:t>.2试验条件的实验室内，被干燥的过滤器从烘箱中拿出后立即装入待测的烹饪烟气吸排装置。在室温条件下以最高转速档运转30</w:t>
      </w:r>
      <w:r>
        <w:t> </w:t>
      </w:r>
      <w:r>
        <w:rPr>
          <w:rFonts w:hint="eastAsia"/>
        </w:rPr>
        <w:t>min后，按</w:t>
      </w:r>
      <w:r>
        <w:t>E</w:t>
      </w:r>
      <w:r>
        <w:rPr>
          <w:rFonts w:hint="eastAsia"/>
        </w:rPr>
        <w:t>.l.2调整好平底锅内底部温度，按</w:t>
      </w:r>
      <w:r>
        <w:t>E</w:t>
      </w:r>
      <w:r>
        <w:rPr>
          <w:rFonts w:hint="eastAsia"/>
        </w:rPr>
        <w:t>.l.3滴液结束，通过放置在地板正中间的风扇搅拌10</w:t>
      </w:r>
      <w:r>
        <w:t> </w:t>
      </w:r>
      <w:r>
        <w:rPr>
          <w:rFonts w:hint="eastAsia"/>
        </w:rPr>
        <w:t>min，将溶液蒸发后的气体均匀地散布到实验室后按</w:t>
      </w:r>
      <w:r>
        <w:t>E</w:t>
      </w:r>
      <w:r>
        <w:rPr>
          <w:rFonts w:hint="eastAsia"/>
        </w:rPr>
        <w:t>.1.4采样，测得的气味浓度为烹饪烟气吸排装置运转30 min时的实验室最大气味浓度(b</w:t>
      </w:r>
      <w:r>
        <w:rPr>
          <w:vertAlign w:val="subscript"/>
        </w:rPr>
        <w:t>1</w:t>
      </w:r>
      <w:r>
        <w:t>)</w:t>
      </w:r>
      <w:r>
        <w:rPr>
          <w:rFonts w:hint="eastAsia"/>
        </w:rPr>
        <w:t>。</w:t>
      </w:r>
    </w:p>
    <w:p>
      <w:pPr>
        <w:pStyle w:val="67"/>
        <w:autoSpaceDE/>
        <w:autoSpaceDN/>
        <w:ind w:firstLine="420"/>
      </w:pPr>
      <w:r>
        <w:rPr>
          <w:rFonts w:hint="eastAsia"/>
        </w:rPr>
        <w:t>测完器具运转30</w:t>
      </w:r>
      <w:r>
        <w:t> </w:t>
      </w:r>
      <w:r>
        <w:rPr>
          <w:rFonts w:hint="eastAsia"/>
        </w:rPr>
        <w:t>min时的实验室最大气味浓度(b</w:t>
      </w:r>
      <w:r>
        <w:rPr>
          <w:vertAlign w:val="subscript"/>
        </w:rPr>
        <w:t>1</w:t>
      </w:r>
      <w:r>
        <w:t>)</w:t>
      </w:r>
      <w:r>
        <w:rPr>
          <w:rFonts w:hint="eastAsia"/>
        </w:rPr>
        <w:t>后不要立即关闭，直至实验室内气味浓度从(b</w:t>
      </w:r>
      <w:r>
        <w:rPr>
          <w:vertAlign w:val="subscript"/>
        </w:rPr>
        <w:t>3</w:t>
      </w:r>
      <w:r>
        <w:t>)</w:t>
      </w:r>
      <w:r>
        <w:rPr>
          <w:rFonts w:hint="eastAsia"/>
        </w:rPr>
        <w:t>降至(b</w:t>
      </w:r>
      <w:r>
        <w:rPr>
          <w:vertAlign w:val="subscript"/>
        </w:rPr>
        <w:t>1</w:t>
      </w:r>
      <w:r>
        <w:t>)</w:t>
      </w:r>
      <w:r>
        <w:rPr>
          <w:rFonts w:hint="eastAsia"/>
        </w:rPr>
        <w:t>的15</w:t>
      </w:r>
      <w:r>
        <w:t> </w:t>
      </w:r>
      <w:r>
        <w:rPr>
          <w:rFonts w:hint="eastAsia"/>
        </w:rPr>
        <w:t>%，并将这一过程所用时间记录下来，该时间即为循环式烹饪烟气吸排装置的气味消除时间。</w:t>
      </w:r>
    </w:p>
    <w:p>
      <w:pPr>
        <w:pStyle w:val="90"/>
        <w:spacing w:before="156" w:after="156"/>
      </w:pPr>
      <w:r>
        <w:rPr>
          <w:rFonts w:hint="eastAsia"/>
        </w:rPr>
        <w:t>岛式吸油烟机气味降低度的测定</w:t>
      </w:r>
    </w:p>
    <w:p>
      <w:pPr>
        <w:pStyle w:val="67"/>
        <w:ind w:firstLine="420"/>
      </w:pPr>
      <w:r>
        <w:rPr>
          <w:rFonts w:hint="eastAsia"/>
        </w:rPr>
        <w:t>岛式吸油烟机的试验方法与壁挂式吸油烟机的试验方法一样，可将吸烟油机直接安装在天花板上，并把两边的橱柜移走。</w:t>
      </w:r>
    </w:p>
    <w:p>
      <w:pPr>
        <w:pStyle w:val="89"/>
        <w:spacing w:before="156" w:after="156"/>
      </w:pPr>
      <w:bookmarkStart w:id="229" w:name="_Toc65063259"/>
      <w:r>
        <w:rPr>
          <w:rFonts w:hint="eastAsia"/>
        </w:rPr>
        <w:t>试验计算</w:t>
      </w:r>
      <w:bookmarkEnd w:id="229"/>
    </w:p>
    <w:p>
      <w:pPr>
        <w:pStyle w:val="90"/>
        <w:spacing w:before="156" w:after="156"/>
      </w:pPr>
      <w:r>
        <w:rPr>
          <w:rFonts w:hint="eastAsia"/>
        </w:rPr>
        <w:t>瞬时气味降低度</w:t>
      </w:r>
      <w:r>
        <w:rPr>
          <w:position w:val="-12"/>
        </w:rPr>
        <w:object>
          <v:shape id="_x0000_i1070" o:spt="75" type="#_x0000_t75" style="height:18pt;width:14.25pt;" o:ole="t" filled="f" o:preferrelative="t" stroked="f" coordsize="21600,21600">
            <v:path/>
            <v:fill on="f" focussize="0,0"/>
            <v:stroke on="f" joinstyle="miter"/>
            <v:imagedata r:id="rId147" o:title=""/>
            <o:lock v:ext="edit" aspectratio="t"/>
            <w10:wrap type="none"/>
            <w10:anchorlock/>
          </v:shape>
          <o:OLEObject Type="Embed" ProgID="Equation.DSMT4" ShapeID="_x0000_i1070" DrawAspect="Content" ObjectID="_1468075770" r:id="rId146">
            <o:LockedField>false</o:LockedField>
          </o:OLEObject>
        </w:object>
      </w:r>
      <w:r>
        <w:rPr>
          <w:rFonts w:hint="eastAsia"/>
        </w:rPr>
        <w:t>可按式（</w:t>
      </w:r>
      <w:r>
        <w:t>E</w:t>
      </w:r>
      <w:r>
        <w:rPr>
          <w:rFonts w:hint="eastAsia"/>
        </w:rPr>
        <w:t>.</w:t>
      </w:r>
      <w:r>
        <w:t>1</w:t>
      </w:r>
      <w:r>
        <w:rPr>
          <w:rFonts w:hint="eastAsia"/>
        </w:rPr>
        <w:t>）计算：</w:t>
      </w:r>
    </w:p>
    <w:p>
      <w:pPr>
        <w:pStyle w:val="124"/>
      </w:pPr>
      <w:r>
        <w:tab/>
      </w:r>
      <m:oMath>
        <m:r>
          <m:rPr>
            <m:sty m:val="p"/>
          </m:rPr>
          <w:rPr>
            <w:rFonts w:ascii="Cambria Math" w:hAnsi="Cambria Math"/>
          </w:rPr>
          <m:t xml:space="preserve"> </m:t>
        </m:r>
        <m:r>
          <m:rPr>
            <m:sty m:val="p"/>
          </m:rPr>
          <w:rPr>
            <w:rFonts w:ascii="Cambria Math" w:hAnsi="Cambria Math"/>
            <w:position w:val="-30"/>
          </w:rPr>
          <w:object>
            <v:shape id="_x0000_i1071" o:spt="75" type="#_x0000_t75" style="height:33.75pt;width:114pt;" o:ole="t" filled="f" o:preferrelative="t" stroked="f" coordsize="21600,21600">
              <v:path/>
              <v:fill on="f" focussize="0,0"/>
              <v:stroke on="f" joinstyle="miter"/>
              <v:imagedata r:id="rId149" o:title=""/>
              <o:lock v:ext="edit" aspectratio="t"/>
              <w10:wrap type="none"/>
              <w10:anchorlock/>
            </v:shape>
            <o:OLEObject Type="Embed" ProgID="Equation.DSMT4" ShapeID="_x0000_i1071" DrawAspect="Content" ObjectID="_1468075771" r:id="rId148">
              <o:LockedField>false</o:LockedField>
            </o:OLEObject>
          </w:object>
        </m:r>
      </m:oMath>
      <w:r>
        <w:rPr>
          <w:rFonts w:ascii="微软雅黑" w:hAnsi="微软雅黑" w:eastAsia="微软雅黑"/>
        </w:rPr>
        <w:tab/>
      </w:r>
      <w:r>
        <w:t>(E.</w:t>
      </w:r>
      <w:r>
        <w:fldChar w:fldCharType="begin"/>
      </w:r>
      <w:r>
        <w:instrText xml:space="preserve"> seq fulu_equation_132584564907491943 </w:instrText>
      </w:r>
      <w:r>
        <w:fldChar w:fldCharType="separate"/>
      </w:r>
      <w:r>
        <w:t>1</w:t>
      </w:r>
      <w:r>
        <w:fldChar w:fldCharType="end"/>
      </w:r>
      <w:r>
        <w:t>)</w:t>
      </w:r>
    </w:p>
    <w:p>
      <w:pPr>
        <w:pStyle w:val="66"/>
        <w:ind w:firstLine="420"/>
      </w:pPr>
      <w:r>
        <w:t>式中：</w:t>
      </w:r>
    </w:p>
    <w:p>
      <w:pPr>
        <w:pStyle w:val="67"/>
        <w:autoSpaceDE/>
        <w:autoSpaceDN/>
        <w:adjustRightInd w:val="0"/>
        <w:ind w:firstLine="420"/>
      </w:pPr>
      <w:r>
        <w:rPr>
          <w:rFonts w:hint="eastAsia"/>
        </w:rPr>
        <w:t>b</w:t>
      </w:r>
      <w:r>
        <w:rPr>
          <w:vertAlign w:val="subscript"/>
        </w:rPr>
        <w:t>1</w:t>
      </w:r>
      <w:r>
        <w:rPr>
          <w:rFonts w:ascii="Times New Roman"/>
        </w:rPr>
        <w:t>——</w:t>
      </w:r>
      <w:r>
        <w:rPr>
          <w:rFonts w:hint="eastAsia"/>
        </w:rPr>
        <w:t>实验室最大气味浓度；</w:t>
      </w:r>
    </w:p>
    <w:p>
      <w:pPr>
        <w:pStyle w:val="67"/>
        <w:autoSpaceDE/>
        <w:autoSpaceDN/>
        <w:adjustRightInd w:val="0"/>
        <w:ind w:firstLine="420"/>
      </w:pPr>
      <w:r>
        <w:rPr>
          <w:rFonts w:hint="eastAsia"/>
        </w:rPr>
        <w:t>b</w:t>
      </w:r>
      <w:r>
        <w:rPr>
          <w:vertAlign w:val="subscript"/>
        </w:rPr>
        <w:t>2</w:t>
      </w:r>
      <w:r>
        <w:rPr>
          <w:rFonts w:ascii="Times New Roman"/>
        </w:rPr>
        <w:t>——</w:t>
      </w:r>
      <w:r>
        <w:rPr>
          <w:rFonts w:hint="eastAsia"/>
        </w:rPr>
        <w:t>器具运转3</w:t>
      </w:r>
      <w:r>
        <w:t> </w:t>
      </w:r>
      <w:r>
        <w:rPr>
          <w:rFonts w:hint="eastAsia"/>
        </w:rPr>
        <w:t>min时实验室最大气味浓度。</w:t>
      </w:r>
    </w:p>
    <w:p>
      <w:pPr>
        <w:pStyle w:val="67"/>
        <w:autoSpaceDE/>
        <w:autoSpaceDN/>
        <w:adjustRightInd w:val="0"/>
        <w:ind w:firstLine="420"/>
      </w:pPr>
      <w:r>
        <w:rPr>
          <w:rFonts w:hint="eastAsia"/>
        </w:rPr>
        <w:t>b</w:t>
      </w:r>
      <w:r>
        <w:rPr>
          <w:vertAlign w:val="subscript"/>
        </w:rPr>
        <w:t>1、</w:t>
      </w:r>
      <w:r>
        <w:rPr>
          <w:rFonts w:hint="eastAsia"/>
        </w:rPr>
        <w:t>b</w:t>
      </w:r>
      <w:r>
        <w:rPr>
          <w:vertAlign w:val="subscript"/>
        </w:rPr>
        <w:t>2</w:t>
      </w:r>
      <w:r>
        <w:rPr>
          <w:rFonts w:hint="eastAsia"/>
        </w:rPr>
        <w:t>的单位以实际采样分析仪器的使用单位为准，并使用同样的量纲。</w:t>
      </w:r>
    </w:p>
    <w:p>
      <w:pPr>
        <w:pStyle w:val="90"/>
        <w:spacing w:before="156" w:after="156"/>
      </w:pPr>
      <w:r>
        <w:rPr>
          <w:rFonts w:hint="eastAsia"/>
        </w:rPr>
        <w:t>常态气味降低度</w:t>
      </w:r>
      <w:r>
        <w:rPr>
          <w:position w:val="-12"/>
        </w:rPr>
        <w:object>
          <v:shape id="_x0000_i1072" o:spt="75" type="#_x0000_t75" style="height:18pt;width:15.75pt;" o:ole="t" filled="f" o:preferrelative="t" stroked="f" coordsize="21600,21600">
            <v:path/>
            <v:fill on="f" focussize="0,0"/>
            <v:stroke on="f" joinstyle="miter"/>
            <v:imagedata r:id="rId151" o:title=""/>
            <o:lock v:ext="edit" aspectratio="t"/>
            <w10:wrap type="none"/>
            <w10:anchorlock/>
          </v:shape>
          <o:OLEObject Type="Embed" ProgID="Equation.DSMT4" ShapeID="_x0000_i1072" DrawAspect="Content" ObjectID="_1468075772" r:id="rId150">
            <o:LockedField>false</o:LockedField>
          </o:OLEObject>
        </w:object>
      </w:r>
      <w:r>
        <w:rPr>
          <w:rFonts w:hint="eastAsia"/>
        </w:rPr>
        <w:t>可按式（</w:t>
      </w:r>
      <w:r>
        <w:t>E</w:t>
      </w:r>
      <w:r>
        <w:rPr>
          <w:rFonts w:hint="eastAsia"/>
        </w:rPr>
        <w:t>.2）计算：</w:t>
      </w:r>
    </w:p>
    <w:p>
      <w:pPr>
        <w:pStyle w:val="124"/>
      </w:pPr>
      <w:r>
        <w:tab/>
      </w:r>
      <w:r>
        <w:t xml:space="preserve"> </w:t>
      </w:r>
      <m:oMath>
        <m:r>
          <m:rPr>
            <m:sty m:val="p"/>
          </m:rPr>
          <w:rPr>
            <w:rFonts w:ascii="Cambria Math" w:hAnsi="Cambria Math"/>
          </w:rPr>
          <m:t xml:space="preserve"> </m:t>
        </m:r>
        <m:r>
          <m:rPr>
            <m:sty m:val="p"/>
          </m:rPr>
          <w:rPr>
            <w:rFonts w:ascii="Cambria Math" w:hAnsi="Cambria Math"/>
            <w:position w:val="-30"/>
          </w:rPr>
          <w:object>
            <v:shape id="_x0000_i1073" o:spt="75" type="#_x0000_t75" style="height:33.75pt;width:116.2pt;" o:ole="t" filled="f" o:preferrelative="t" stroked="f" coordsize="21600,21600">
              <v:path/>
              <v:fill on="f" focussize="0,0"/>
              <v:stroke on="f" joinstyle="miter"/>
              <v:imagedata r:id="rId153" o:title=""/>
              <o:lock v:ext="edit" aspectratio="t"/>
              <w10:wrap type="none"/>
              <w10:anchorlock/>
            </v:shape>
            <o:OLEObject Type="Embed" ProgID="Equation.DSMT4" ShapeID="_x0000_i1073" DrawAspect="Content" ObjectID="_1468075773" r:id="rId152">
              <o:LockedField>false</o:LockedField>
            </o:OLEObject>
          </w:object>
        </m:r>
        <m:r>
          <m:rPr>
            <m:sty m:val="p"/>
          </m:rPr>
          <w:rPr>
            <w:rFonts w:ascii="Cambria Math" w:hAnsi="Cambria Math"/>
          </w:rPr>
          <m:t xml:space="preserve"> </m:t>
        </m:r>
      </m:oMath>
      <w:r>
        <w:rPr>
          <w:rFonts w:ascii="微软雅黑" w:hAnsi="微软雅黑" w:eastAsia="微软雅黑"/>
        </w:rPr>
        <w:tab/>
      </w:r>
      <w:r>
        <w:t>(E.</w:t>
      </w:r>
      <w:r>
        <w:fldChar w:fldCharType="begin"/>
      </w:r>
      <w:r>
        <w:instrText xml:space="preserve">  seq fulu_equation_132584564907491943  </w:instrText>
      </w:r>
      <w:r>
        <w:fldChar w:fldCharType="separate"/>
      </w:r>
      <w:r>
        <w:t>2</w:t>
      </w:r>
      <w:r>
        <w:fldChar w:fldCharType="end"/>
      </w:r>
      <w:r>
        <w:t>)</w:t>
      </w:r>
    </w:p>
    <w:p>
      <w:pPr>
        <w:pStyle w:val="67"/>
        <w:autoSpaceDE/>
        <w:autoSpaceDN/>
        <w:ind w:firstLine="420"/>
      </w:pPr>
      <w:r>
        <w:rPr>
          <w:rFonts w:hint="eastAsia"/>
        </w:rPr>
        <w:t>式中：</w:t>
      </w:r>
    </w:p>
    <w:p>
      <w:pPr>
        <w:pStyle w:val="67"/>
        <w:autoSpaceDE/>
        <w:autoSpaceDN/>
        <w:adjustRightInd w:val="0"/>
        <w:ind w:firstLine="420"/>
      </w:pPr>
      <w:r>
        <w:rPr>
          <w:rFonts w:hint="eastAsia"/>
        </w:rPr>
        <w:t>b</w:t>
      </w:r>
      <w:r>
        <w:rPr>
          <w:vertAlign w:val="subscript"/>
        </w:rPr>
        <w:t>1</w:t>
      </w:r>
      <w:r>
        <w:rPr>
          <w:rFonts w:ascii="Times New Roman"/>
        </w:rPr>
        <w:t>——</w:t>
      </w:r>
      <w:r>
        <w:rPr>
          <w:rFonts w:hint="eastAsia"/>
        </w:rPr>
        <w:t>实验室最大气味浓度；</w:t>
      </w:r>
    </w:p>
    <w:p>
      <w:pPr>
        <w:pStyle w:val="67"/>
        <w:autoSpaceDE/>
        <w:autoSpaceDN/>
        <w:adjustRightInd w:val="0"/>
        <w:ind w:firstLine="420"/>
      </w:pPr>
      <w:r>
        <w:rPr>
          <w:rFonts w:hint="eastAsia"/>
        </w:rPr>
        <w:t>b</w:t>
      </w:r>
      <w:r>
        <w:rPr>
          <w:vertAlign w:val="subscript"/>
        </w:rPr>
        <w:t>3</w:t>
      </w:r>
      <w:r>
        <w:rPr>
          <w:rFonts w:ascii="Times New Roman"/>
        </w:rPr>
        <w:t>——</w:t>
      </w:r>
      <w:r>
        <w:rPr>
          <w:rFonts w:hint="eastAsia"/>
        </w:rPr>
        <w:t>器具运转30</w:t>
      </w:r>
      <w:r>
        <w:t> </w:t>
      </w:r>
      <w:r>
        <w:rPr>
          <w:rFonts w:hint="eastAsia"/>
        </w:rPr>
        <w:t>min时的实验室最大气味浓度。</w:t>
      </w:r>
    </w:p>
    <w:p>
      <w:pPr>
        <w:pStyle w:val="67"/>
        <w:autoSpaceDE/>
        <w:autoSpaceDN/>
        <w:adjustRightInd w:val="0"/>
        <w:ind w:firstLine="420"/>
      </w:pPr>
      <w:r>
        <w:rPr>
          <w:rFonts w:hint="eastAsia"/>
        </w:rPr>
        <w:t>b</w:t>
      </w:r>
      <w:r>
        <w:rPr>
          <w:vertAlign w:val="subscript"/>
        </w:rPr>
        <w:t>1、</w:t>
      </w:r>
      <w:r>
        <w:rPr>
          <w:rFonts w:hint="eastAsia"/>
        </w:rPr>
        <w:t>b</w:t>
      </w:r>
      <w:r>
        <w:rPr>
          <w:vertAlign w:val="subscript"/>
        </w:rPr>
        <w:t>3</w:t>
      </w:r>
      <w:r>
        <w:rPr>
          <w:rFonts w:hint="eastAsia"/>
        </w:rPr>
        <w:t>的单位以实际采样分析仪器的使用单位为准，并使用同样的量纲。</w:t>
      </w:r>
    </w:p>
    <w:p>
      <w:pPr>
        <w:pStyle w:val="67"/>
        <w:ind w:firstLine="420"/>
        <w:sectPr>
          <w:headerReference r:id="rId35" w:type="default"/>
          <w:footerReference r:id="rId37" w:type="default"/>
          <w:headerReference r:id="rId36" w:type="even"/>
          <w:footerReference r:id="rId38" w:type="even"/>
          <w:pgSz w:w="11906" w:h="16838"/>
          <w:pgMar w:top="1871" w:right="1134" w:bottom="1134" w:left="1134" w:header="1418" w:footer="1134" w:gutter="284"/>
          <w:cols w:space="425" w:num="1"/>
          <w:formProt w:val="0"/>
          <w:docGrid w:type="lines" w:linePitch="312" w:charSpace="0"/>
        </w:sectPr>
      </w:pPr>
    </w:p>
    <w:p>
      <w:pPr>
        <w:pStyle w:val="209"/>
        <w:rPr>
          <w:vanish w:val="0"/>
        </w:rPr>
      </w:pPr>
    </w:p>
    <w:p>
      <w:pPr>
        <w:pStyle w:val="210"/>
        <w:rPr>
          <w:vanish w:val="0"/>
        </w:rPr>
      </w:pPr>
    </w:p>
    <w:p>
      <w:pPr>
        <w:pStyle w:val="87"/>
        <w:spacing w:before="78" w:after="156"/>
      </w:pPr>
      <w:r>
        <w:br w:type="textWrapping"/>
      </w:r>
      <w:bookmarkStart w:id="230" w:name="_Toc65063280"/>
      <w:bookmarkStart w:id="231" w:name="_Toc67430103"/>
      <w:bookmarkStart w:id="232" w:name="_Toc66814527"/>
      <w:bookmarkStart w:id="233" w:name="_Toc67429519"/>
      <w:bookmarkStart w:id="234" w:name="_Toc66815981"/>
      <w:bookmarkStart w:id="235" w:name="_Toc67318114"/>
      <w:bookmarkStart w:id="236" w:name="_Toc67429555"/>
      <w:bookmarkStart w:id="237" w:name="_Toc67317896"/>
      <w:bookmarkStart w:id="238" w:name="_Toc67317840"/>
      <w:bookmarkStart w:id="239" w:name="_Toc67426335"/>
      <w:bookmarkStart w:id="240" w:name="_Toc65063260"/>
      <w:bookmarkStart w:id="241" w:name="_Toc66866035"/>
      <w:r>
        <w:rPr>
          <w:rFonts w:hint="eastAsia"/>
        </w:rPr>
        <w:t>（规范性）</w:t>
      </w:r>
      <w:r>
        <w:br w:type="textWrapping"/>
      </w:r>
      <w:r>
        <w:rPr>
          <w:rFonts w:hint="eastAsia"/>
        </w:rPr>
        <w:t>油脂分离度试验方法</w:t>
      </w:r>
      <w:bookmarkEnd w:id="230"/>
      <w:bookmarkEnd w:id="231"/>
      <w:bookmarkEnd w:id="232"/>
      <w:bookmarkEnd w:id="233"/>
      <w:bookmarkEnd w:id="234"/>
      <w:bookmarkEnd w:id="235"/>
      <w:bookmarkEnd w:id="236"/>
      <w:bookmarkEnd w:id="237"/>
      <w:bookmarkEnd w:id="238"/>
      <w:bookmarkEnd w:id="239"/>
      <w:bookmarkEnd w:id="240"/>
      <w:bookmarkEnd w:id="241"/>
    </w:p>
    <w:p>
      <w:pPr>
        <w:pStyle w:val="67"/>
        <w:ind w:firstLine="420"/>
      </w:pPr>
    </w:p>
    <w:p>
      <w:pPr>
        <w:pStyle w:val="89"/>
        <w:spacing w:before="156" w:after="156"/>
      </w:pPr>
      <w:bookmarkStart w:id="242" w:name="_Toc65063261"/>
      <w:r>
        <w:t>试验装置</w:t>
      </w:r>
      <w:bookmarkEnd w:id="242"/>
    </w:p>
    <w:p>
      <w:pPr>
        <w:pStyle w:val="90"/>
        <w:spacing w:before="156" w:after="156"/>
      </w:pPr>
      <w:r>
        <w:rPr>
          <w:rFonts w:hint="eastAsia"/>
        </w:rPr>
        <w:t>装置组成</w:t>
      </w:r>
    </w:p>
    <w:p>
      <w:pPr>
        <w:pStyle w:val="67"/>
        <w:autoSpaceDE/>
        <w:autoSpaceDN/>
        <w:ind w:firstLine="420"/>
      </w:pPr>
      <w:r>
        <w:rPr>
          <w:rFonts w:hint="eastAsia"/>
        </w:rPr>
        <w:t>油脂分离度试验装置由主箱体、辅助风机、独立过滤器、滴液系统和温控系统等组成。</w:t>
      </w:r>
    </w:p>
    <w:p>
      <w:pPr>
        <w:pStyle w:val="67"/>
        <w:autoSpaceDE/>
        <w:autoSpaceDN/>
        <w:ind w:firstLine="420"/>
        <w:rPr>
          <w:snapToGrid w:val="0"/>
          <w:color w:val="000000"/>
          <w:szCs w:val="21"/>
        </w:rPr>
      </w:pPr>
      <w:r>
        <w:rPr>
          <w:rFonts w:hint="eastAsia"/>
        </w:rPr>
        <w:t>吸油烟机油脂分离度试验装置如图</w:t>
      </w:r>
      <w:r>
        <w:t>F</w:t>
      </w:r>
      <w:r>
        <w:rPr>
          <w:rFonts w:hint="eastAsia"/>
        </w:rPr>
        <w:t>.1所示。主箱体由与主箱体密封的中间板将其分隔为上部的均衡室和下部的油烟发生室两部分。被测器具安装在油烟发生室顶部，其出风口可经密封后的中间板垂直通向均衡室。油烟发生室的下部有高度可调节的台面。该台面与主箱体之间有围绕各大于50</w:t>
      </w:r>
      <w:r>
        <w:t> </w:t>
      </w:r>
      <w:r>
        <w:rPr>
          <w:rFonts w:hint="eastAsia"/>
        </w:rPr>
        <w:t>mm的进气隙。台面的高度可按不同的吸油烟机尺寸调节高度。</w:t>
      </w:r>
      <w:r>
        <w:rPr>
          <w:rFonts w:hint="eastAsia" w:cs="黑体"/>
          <w:color w:val="000000"/>
          <w:szCs w:val="21"/>
        </w:rPr>
        <w:t>在均衡室顶部安装有</w:t>
      </w:r>
      <w:r>
        <w:rPr>
          <w:rFonts w:hint="eastAsia" w:ascii="Arial"/>
          <w:color w:val="000000"/>
          <w:szCs w:val="21"/>
        </w:rPr>
        <w:t>试验装置用独立过滤器，独立过滤器</w:t>
      </w:r>
      <w:r>
        <w:rPr>
          <w:rFonts w:hint="eastAsia" w:cs="黑体"/>
          <w:color w:val="000000"/>
          <w:szCs w:val="21"/>
        </w:rPr>
        <w:t>与主箱体之间要求密封。</w:t>
      </w:r>
      <w:r>
        <w:rPr>
          <w:rFonts w:hint="eastAsia" w:ascii="Arial"/>
          <w:color w:val="000000"/>
          <w:szCs w:val="21"/>
        </w:rPr>
        <w:t>试验装置用独立过滤器的要求见</w:t>
      </w:r>
      <w:r>
        <w:rPr>
          <w:rFonts w:hAnsi="宋体"/>
          <w:color w:val="000000"/>
        </w:rPr>
        <w:t>F</w:t>
      </w:r>
      <w:r>
        <w:rPr>
          <w:rFonts w:hint="eastAsia" w:hAnsi="宋体"/>
          <w:color w:val="000000"/>
          <w:szCs w:val="21"/>
        </w:rPr>
        <w:t>.1.5</w:t>
      </w:r>
      <w:r>
        <w:rPr>
          <w:rFonts w:hint="eastAsia"/>
          <w:snapToGrid w:val="0"/>
          <w:color w:val="000000"/>
          <w:szCs w:val="21"/>
        </w:rPr>
        <w:t>。</w:t>
      </w:r>
    </w:p>
    <w:p>
      <w:pPr>
        <w:pStyle w:val="67"/>
        <w:autoSpaceDE/>
        <w:autoSpaceDN/>
        <w:ind w:firstLine="420"/>
      </w:pPr>
      <w:r>
        <w:rPr>
          <w:rFonts w:hint="eastAsia"/>
        </w:rPr>
        <w:t xml:space="preserve"> 其他器具油脂分离度试验装置如图</w:t>
      </w:r>
      <w:r>
        <w:t>F</w:t>
      </w:r>
      <w:r>
        <w:rPr>
          <w:rFonts w:hint="eastAsia"/>
        </w:rPr>
        <w:t>.2所示。被测器具安装在主箱体下部，与均衡室之间的连接应密封可靠，连接管应保持在水平位置。在被测器具灶台表面安装功率为2000</w:t>
      </w:r>
      <w:r>
        <w:t> </w:t>
      </w:r>
      <w:r>
        <w:rPr>
          <w:rFonts w:hint="eastAsia"/>
        </w:rPr>
        <w:t>W</w:t>
      </w:r>
      <w:r>
        <w:t>的电炉，必要时可拆除</w:t>
      </w:r>
      <w:r>
        <w:rPr>
          <w:rFonts w:hint="eastAsia"/>
        </w:rPr>
        <w:t>锅支架和燃烧器等活动部件。电炉的高度不应超过80</w:t>
      </w:r>
      <w:r>
        <w:t> </w:t>
      </w:r>
      <w:r>
        <w:rPr>
          <w:rFonts w:hint="eastAsia"/>
        </w:rPr>
        <w:t>mm，电炉上放置试验用平底锅，试验用平底锅的位置如图</w:t>
      </w:r>
      <w:r>
        <w:t>F</w:t>
      </w:r>
      <w:r>
        <w:rPr>
          <w:rFonts w:hint="eastAsia"/>
        </w:rPr>
        <w:t>.</w:t>
      </w:r>
      <w:r>
        <w:t>3</w:t>
      </w:r>
      <w:r>
        <w:rPr>
          <w:rFonts w:hint="eastAsia"/>
        </w:rPr>
        <w:t>所示。</w:t>
      </w:r>
    </w:p>
    <w:p>
      <w:pPr>
        <w:pStyle w:val="67"/>
        <w:ind w:firstLine="0" w:firstLineChars="0"/>
        <w:jc w:val="center"/>
      </w:pPr>
      <w:r>
        <w:rPr>
          <w:rFonts w:cs="黑体"/>
          <w:color w:val="000000"/>
          <w:szCs w:val="21"/>
        </w:rPr>
        <w:drawing>
          <wp:inline distT="0" distB="0" distL="0" distR="0">
            <wp:extent cx="5483860" cy="4077335"/>
            <wp:effectExtent l="0" t="0" r="2540" b="0"/>
            <wp:docPr id="8" name="图片 8"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命名"/>
                    <pic:cNvPicPr>
                      <a:picLocks noChangeAspect="1" noChangeArrowheads="1"/>
                    </pic:cNvPicPr>
                  </pic:nvPicPr>
                  <pic:blipFill>
                    <a:blip r:embed="rId154">
                      <a:extLst>
                        <a:ext uri="{28A0092B-C50C-407E-A947-70E740481C1C}">
                          <a14:useLocalDpi xmlns:a14="http://schemas.microsoft.com/office/drawing/2010/main" val="0"/>
                        </a:ext>
                      </a:extLst>
                    </a:blip>
                    <a:srcRect l="4971" t="2620" r="29103" b="46858"/>
                    <a:stretch>
                      <a:fillRect/>
                    </a:stretch>
                  </pic:blipFill>
                  <pic:spPr>
                    <a:xfrm>
                      <a:off x="0" y="0"/>
                      <a:ext cx="5489062" cy="4081255"/>
                    </a:xfrm>
                    <a:prstGeom prst="rect">
                      <a:avLst/>
                    </a:prstGeom>
                    <a:noFill/>
                    <a:ln>
                      <a:noFill/>
                    </a:ln>
                  </pic:spPr>
                </pic:pic>
              </a:graphicData>
            </a:graphic>
          </wp:inline>
        </w:drawing>
      </w:r>
    </w:p>
    <w:p>
      <w:pPr>
        <w:snapToGrid w:val="0"/>
        <w:spacing w:line="360" w:lineRule="exact"/>
        <w:ind w:right="360" w:firstLine="360" w:firstLineChars="200"/>
        <w:rPr>
          <w:rFonts w:ascii="Arial" w:hAnsi="宋体"/>
          <w:color w:val="000000"/>
          <w:sz w:val="18"/>
          <w:szCs w:val="18"/>
        </w:rPr>
      </w:pPr>
      <w:r>
        <w:rPr>
          <w:rFonts w:hint="eastAsia" w:ascii="Arial" w:hAnsi="宋体"/>
          <w:color w:val="000000"/>
          <w:sz w:val="18"/>
          <w:szCs w:val="18"/>
        </w:rPr>
        <w:t>说明：</w:t>
      </w:r>
    </w:p>
    <w:tbl>
      <w:tblPr>
        <w:tblStyle w:val="36"/>
        <w:tblW w:w="0" w:type="auto"/>
        <w:jc w:val="center"/>
        <w:tblLayout w:type="autofit"/>
        <w:tblCellMar>
          <w:top w:w="0" w:type="dxa"/>
          <w:left w:w="108" w:type="dxa"/>
          <w:bottom w:w="0" w:type="dxa"/>
          <w:right w:w="108" w:type="dxa"/>
        </w:tblCellMar>
      </w:tblPr>
      <w:tblGrid>
        <w:gridCol w:w="4923"/>
        <w:gridCol w:w="3957"/>
      </w:tblGrid>
      <w:tr>
        <w:tblPrEx>
          <w:tblCellMar>
            <w:top w:w="0" w:type="dxa"/>
            <w:left w:w="108" w:type="dxa"/>
            <w:bottom w:w="0" w:type="dxa"/>
            <w:right w:w="108" w:type="dxa"/>
          </w:tblCellMar>
        </w:tblPrEx>
        <w:trPr>
          <w:jc w:val="center"/>
        </w:trPr>
        <w:tc>
          <w:tcPr>
            <w:tcW w:w="4923" w:type="dxa"/>
            <w:vAlign w:val="center"/>
          </w:tcPr>
          <w:p>
            <w:pPr>
              <w:snapToGrid w:val="0"/>
              <w:spacing w:line="360" w:lineRule="exact"/>
              <w:rPr>
                <w:rFonts w:ascii="宋体" w:hAnsi="宋体"/>
                <w:color w:val="000000"/>
                <w:sz w:val="18"/>
                <w:szCs w:val="18"/>
              </w:rPr>
            </w:pPr>
            <w:r>
              <w:rPr>
                <w:rFonts w:hint="eastAsia" w:ascii="宋体" w:hAnsi="宋体"/>
                <w:color w:val="000000"/>
                <w:sz w:val="18"/>
                <w:szCs w:val="18"/>
              </w:rPr>
              <w:t>1</w:t>
            </w:r>
            <w:r>
              <w:rPr>
                <w:rStyle w:val="285"/>
                <w:rFonts w:ascii="宋体" w:hAnsi="宋体" w:cs="Arial"/>
                <w:color w:val="000000"/>
                <w:sz w:val="18"/>
                <w:szCs w:val="18"/>
              </w:rPr>
              <w:t>——</w:t>
            </w:r>
            <w:r>
              <w:rPr>
                <w:rFonts w:hint="eastAsia" w:ascii="宋体" w:hAnsi="宋体"/>
                <w:color w:val="000000"/>
                <w:sz w:val="18"/>
                <w:szCs w:val="18"/>
              </w:rPr>
              <w:t>辅助风机</w:t>
            </w:r>
          </w:p>
        </w:tc>
        <w:tc>
          <w:tcPr>
            <w:tcW w:w="3957" w:type="dxa"/>
            <w:vAlign w:val="center"/>
          </w:tcPr>
          <w:p>
            <w:pPr>
              <w:snapToGrid w:val="0"/>
              <w:spacing w:line="360" w:lineRule="exact"/>
              <w:rPr>
                <w:rFonts w:ascii="宋体" w:hAnsi="宋体"/>
                <w:color w:val="000000"/>
                <w:sz w:val="18"/>
                <w:szCs w:val="18"/>
              </w:rPr>
            </w:pPr>
            <w:r>
              <w:rPr>
                <w:rFonts w:hint="eastAsia" w:ascii="宋体" w:hAnsi="宋体"/>
                <w:color w:val="000000"/>
                <w:sz w:val="18"/>
                <w:szCs w:val="18"/>
              </w:rPr>
              <w:t>7</w:t>
            </w:r>
            <w:r>
              <w:rPr>
                <w:rStyle w:val="285"/>
                <w:rFonts w:ascii="宋体" w:hAnsi="宋体" w:cs="Arial"/>
                <w:color w:val="000000"/>
                <w:sz w:val="18"/>
                <w:szCs w:val="18"/>
              </w:rPr>
              <w:t>——</w:t>
            </w:r>
            <w:r>
              <w:rPr>
                <w:rFonts w:hint="eastAsia" w:ascii="宋体" w:hAnsi="宋体"/>
                <w:color w:val="000000"/>
                <w:sz w:val="18"/>
                <w:szCs w:val="18"/>
              </w:rPr>
              <w:t>滴液系统</w:t>
            </w:r>
          </w:p>
        </w:tc>
      </w:tr>
      <w:tr>
        <w:tblPrEx>
          <w:tblCellMar>
            <w:top w:w="0" w:type="dxa"/>
            <w:left w:w="108" w:type="dxa"/>
            <w:bottom w:w="0" w:type="dxa"/>
            <w:right w:w="108" w:type="dxa"/>
          </w:tblCellMar>
        </w:tblPrEx>
        <w:trPr>
          <w:jc w:val="center"/>
        </w:trPr>
        <w:tc>
          <w:tcPr>
            <w:tcW w:w="4923" w:type="dxa"/>
            <w:vAlign w:val="center"/>
          </w:tcPr>
          <w:p>
            <w:pPr>
              <w:snapToGrid w:val="0"/>
              <w:spacing w:line="360" w:lineRule="exact"/>
              <w:rPr>
                <w:rFonts w:ascii="宋体" w:hAnsi="宋体"/>
                <w:color w:val="000000"/>
                <w:sz w:val="18"/>
                <w:szCs w:val="18"/>
              </w:rPr>
            </w:pPr>
            <w:r>
              <w:rPr>
                <w:rFonts w:hint="eastAsia" w:ascii="宋体" w:hAnsi="宋体"/>
                <w:color w:val="000000"/>
                <w:sz w:val="18"/>
                <w:szCs w:val="18"/>
              </w:rPr>
              <w:t>2</w:t>
            </w:r>
            <w:r>
              <w:rPr>
                <w:rStyle w:val="285"/>
                <w:rFonts w:ascii="宋体" w:hAnsi="宋体" w:cs="Arial"/>
                <w:color w:val="000000"/>
                <w:sz w:val="18"/>
                <w:szCs w:val="18"/>
              </w:rPr>
              <w:t>——</w:t>
            </w:r>
            <w:r>
              <w:rPr>
                <w:rFonts w:hint="eastAsia" w:ascii="宋体" w:hAnsi="宋体"/>
                <w:color w:val="000000"/>
                <w:sz w:val="18"/>
                <w:szCs w:val="18"/>
              </w:rPr>
              <w:t>试验装置用独立过滤器</w:t>
            </w:r>
          </w:p>
        </w:tc>
        <w:tc>
          <w:tcPr>
            <w:tcW w:w="3957" w:type="dxa"/>
            <w:vAlign w:val="center"/>
          </w:tcPr>
          <w:p>
            <w:pPr>
              <w:snapToGrid w:val="0"/>
              <w:spacing w:line="360" w:lineRule="exact"/>
              <w:rPr>
                <w:rFonts w:ascii="宋体" w:hAnsi="宋体"/>
                <w:color w:val="000000"/>
                <w:sz w:val="18"/>
                <w:szCs w:val="18"/>
              </w:rPr>
            </w:pPr>
            <w:r>
              <w:rPr>
                <w:rFonts w:hint="eastAsia" w:ascii="宋体" w:hAnsi="宋体"/>
                <w:color w:val="000000"/>
                <w:sz w:val="18"/>
                <w:szCs w:val="18"/>
              </w:rPr>
              <w:t>8</w:t>
            </w:r>
            <w:r>
              <w:rPr>
                <w:rStyle w:val="285"/>
                <w:rFonts w:ascii="宋体" w:hAnsi="宋体" w:cs="Arial"/>
                <w:color w:val="000000"/>
                <w:sz w:val="18"/>
                <w:szCs w:val="18"/>
              </w:rPr>
              <w:t>——</w:t>
            </w:r>
            <w:r>
              <w:rPr>
                <w:rFonts w:hint="eastAsia" w:ascii="宋体" w:hAnsi="宋体"/>
                <w:color w:val="000000"/>
                <w:sz w:val="18"/>
                <w:szCs w:val="18"/>
              </w:rPr>
              <w:t>电炉</w:t>
            </w:r>
          </w:p>
        </w:tc>
      </w:tr>
      <w:tr>
        <w:tblPrEx>
          <w:tblCellMar>
            <w:top w:w="0" w:type="dxa"/>
            <w:left w:w="108" w:type="dxa"/>
            <w:bottom w:w="0" w:type="dxa"/>
            <w:right w:w="108" w:type="dxa"/>
          </w:tblCellMar>
        </w:tblPrEx>
        <w:trPr>
          <w:jc w:val="center"/>
        </w:trPr>
        <w:tc>
          <w:tcPr>
            <w:tcW w:w="4923" w:type="dxa"/>
            <w:vAlign w:val="center"/>
          </w:tcPr>
          <w:p>
            <w:pPr>
              <w:snapToGrid w:val="0"/>
              <w:spacing w:line="360" w:lineRule="exact"/>
              <w:rPr>
                <w:rFonts w:ascii="宋体" w:hAnsi="宋体"/>
                <w:color w:val="000000"/>
                <w:sz w:val="18"/>
                <w:szCs w:val="18"/>
              </w:rPr>
            </w:pPr>
            <w:r>
              <w:rPr>
                <w:rFonts w:hint="eastAsia" w:ascii="宋体" w:hAnsi="宋体"/>
                <w:color w:val="000000"/>
                <w:sz w:val="18"/>
                <w:szCs w:val="18"/>
              </w:rPr>
              <w:t>3</w:t>
            </w:r>
            <w:r>
              <w:rPr>
                <w:rStyle w:val="285"/>
                <w:rFonts w:ascii="宋体" w:hAnsi="宋体" w:cs="Arial"/>
                <w:color w:val="000000"/>
                <w:sz w:val="18"/>
                <w:szCs w:val="18"/>
              </w:rPr>
              <w:t>——</w:t>
            </w:r>
            <w:r>
              <w:rPr>
                <w:rFonts w:hint="eastAsia" w:ascii="宋体" w:hAnsi="宋体"/>
                <w:color w:val="000000"/>
                <w:sz w:val="18"/>
                <w:szCs w:val="18"/>
              </w:rPr>
              <w:t>均衡室</w:t>
            </w:r>
          </w:p>
        </w:tc>
        <w:tc>
          <w:tcPr>
            <w:tcW w:w="3957" w:type="dxa"/>
            <w:vAlign w:val="center"/>
          </w:tcPr>
          <w:p>
            <w:pPr>
              <w:snapToGrid w:val="0"/>
              <w:spacing w:line="360" w:lineRule="exact"/>
              <w:rPr>
                <w:rFonts w:ascii="宋体" w:hAnsi="宋体"/>
                <w:color w:val="000000"/>
                <w:sz w:val="18"/>
                <w:szCs w:val="18"/>
              </w:rPr>
            </w:pPr>
            <w:r>
              <w:rPr>
                <w:rFonts w:hint="eastAsia" w:ascii="宋体" w:hAnsi="宋体"/>
                <w:color w:val="000000"/>
                <w:sz w:val="18"/>
                <w:szCs w:val="18"/>
              </w:rPr>
              <w:t>9</w:t>
            </w:r>
            <w:r>
              <w:rPr>
                <w:rStyle w:val="285"/>
                <w:rFonts w:ascii="宋体" w:hAnsi="宋体" w:cs="Arial"/>
                <w:color w:val="000000"/>
                <w:sz w:val="18"/>
                <w:szCs w:val="18"/>
              </w:rPr>
              <w:t>——</w:t>
            </w:r>
            <w:r>
              <w:rPr>
                <w:rFonts w:hint="eastAsia" w:ascii="宋体" w:hAnsi="宋体"/>
                <w:color w:val="000000"/>
                <w:sz w:val="18"/>
                <w:szCs w:val="18"/>
              </w:rPr>
              <w:t>试验用平底锅</w:t>
            </w:r>
          </w:p>
        </w:tc>
      </w:tr>
      <w:tr>
        <w:tblPrEx>
          <w:tblCellMar>
            <w:top w:w="0" w:type="dxa"/>
            <w:left w:w="108" w:type="dxa"/>
            <w:bottom w:w="0" w:type="dxa"/>
            <w:right w:w="108" w:type="dxa"/>
          </w:tblCellMar>
        </w:tblPrEx>
        <w:trPr>
          <w:jc w:val="center"/>
        </w:trPr>
        <w:tc>
          <w:tcPr>
            <w:tcW w:w="4923" w:type="dxa"/>
            <w:vAlign w:val="center"/>
          </w:tcPr>
          <w:p>
            <w:pPr>
              <w:snapToGrid w:val="0"/>
              <w:spacing w:line="360" w:lineRule="exact"/>
              <w:rPr>
                <w:rFonts w:ascii="宋体" w:hAnsi="宋体"/>
                <w:color w:val="000000"/>
                <w:sz w:val="18"/>
                <w:szCs w:val="18"/>
              </w:rPr>
            </w:pPr>
            <w:r>
              <w:rPr>
                <w:rFonts w:hint="eastAsia" w:ascii="宋体" w:hAnsi="宋体"/>
                <w:color w:val="000000"/>
                <w:sz w:val="18"/>
                <w:szCs w:val="18"/>
              </w:rPr>
              <w:t>4</w:t>
            </w:r>
            <w:r>
              <w:rPr>
                <w:rStyle w:val="285"/>
                <w:rFonts w:ascii="宋体" w:hAnsi="宋体" w:cs="Arial"/>
                <w:color w:val="000000"/>
                <w:sz w:val="18"/>
                <w:szCs w:val="18"/>
              </w:rPr>
              <w:t>——</w:t>
            </w:r>
            <w:r>
              <w:rPr>
                <w:rFonts w:hint="eastAsia" w:ascii="宋体" w:hAnsi="宋体"/>
                <w:color w:val="000000"/>
                <w:sz w:val="18"/>
                <w:szCs w:val="18"/>
              </w:rPr>
              <w:t>中间板（可根据吸油烟机出风口调节开口）</w:t>
            </w:r>
          </w:p>
        </w:tc>
        <w:tc>
          <w:tcPr>
            <w:tcW w:w="3957" w:type="dxa"/>
            <w:vAlign w:val="center"/>
          </w:tcPr>
          <w:p>
            <w:pPr>
              <w:snapToGrid w:val="0"/>
              <w:spacing w:line="360" w:lineRule="exact"/>
              <w:rPr>
                <w:rFonts w:ascii="宋体" w:hAnsi="宋体"/>
                <w:color w:val="000000"/>
                <w:sz w:val="18"/>
                <w:szCs w:val="18"/>
              </w:rPr>
            </w:pPr>
            <w:r>
              <w:rPr>
                <w:rFonts w:hint="eastAsia" w:ascii="宋体" w:hAnsi="宋体"/>
                <w:color w:val="000000"/>
                <w:sz w:val="18"/>
                <w:szCs w:val="18"/>
              </w:rPr>
              <w:t>10</w:t>
            </w:r>
            <w:r>
              <w:rPr>
                <w:rStyle w:val="285"/>
                <w:rFonts w:ascii="宋体" w:hAnsi="宋体" w:cs="Arial"/>
                <w:color w:val="000000"/>
                <w:sz w:val="18"/>
                <w:szCs w:val="18"/>
              </w:rPr>
              <w:t>——</w:t>
            </w:r>
            <w:r>
              <w:rPr>
                <w:rFonts w:hint="eastAsia" w:ascii="宋体" w:hAnsi="宋体"/>
                <w:color w:val="000000"/>
                <w:sz w:val="18"/>
                <w:szCs w:val="18"/>
              </w:rPr>
              <w:t>被测吸油烟机</w:t>
            </w:r>
          </w:p>
        </w:tc>
      </w:tr>
      <w:tr>
        <w:tblPrEx>
          <w:tblCellMar>
            <w:top w:w="0" w:type="dxa"/>
            <w:left w:w="108" w:type="dxa"/>
            <w:bottom w:w="0" w:type="dxa"/>
            <w:right w:w="108" w:type="dxa"/>
          </w:tblCellMar>
        </w:tblPrEx>
        <w:trPr>
          <w:jc w:val="center"/>
        </w:trPr>
        <w:tc>
          <w:tcPr>
            <w:tcW w:w="4923" w:type="dxa"/>
            <w:vAlign w:val="center"/>
          </w:tcPr>
          <w:p>
            <w:pPr>
              <w:snapToGrid w:val="0"/>
              <w:spacing w:line="360" w:lineRule="exact"/>
              <w:rPr>
                <w:rFonts w:ascii="宋体" w:hAnsi="宋体"/>
                <w:color w:val="000000"/>
                <w:sz w:val="18"/>
                <w:szCs w:val="18"/>
              </w:rPr>
            </w:pPr>
            <w:r>
              <w:rPr>
                <w:rFonts w:hint="eastAsia" w:ascii="宋体" w:hAnsi="宋体"/>
                <w:color w:val="000000"/>
                <w:sz w:val="18"/>
                <w:szCs w:val="18"/>
              </w:rPr>
              <w:t>5</w:t>
            </w:r>
            <w:r>
              <w:rPr>
                <w:rStyle w:val="285"/>
                <w:rFonts w:ascii="宋体" w:hAnsi="宋体" w:cs="Arial"/>
                <w:color w:val="000000"/>
                <w:sz w:val="18"/>
                <w:szCs w:val="18"/>
              </w:rPr>
              <w:t>——</w:t>
            </w:r>
            <w:r>
              <w:rPr>
                <w:rFonts w:hint="eastAsia" w:ascii="宋体" w:hAnsi="宋体"/>
                <w:color w:val="000000"/>
                <w:sz w:val="18"/>
                <w:szCs w:val="18"/>
              </w:rPr>
              <w:t>油烟发生室</w:t>
            </w:r>
          </w:p>
        </w:tc>
        <w:tc>
          <w:tcPr>
            <w:tcW w:w="3957" w:type="dxa"/>
            <w:vAlign w:val="center"/>
          </w:tcPr>
          <w:p>
            <w:pPr>
              <w:snapToGrid w:val="0"/>
              <w:spacing w:line="360" w:lineRule="exact"/>
              <w:rPr>
                <w:rFonts w:ascii="宋体" w:hAnsi="宋体"/>
                <w:color w:val="000000"/>
                <w:sz w:val="18"/>
                <w:szCs w:val="18"/>
              </w:rPr>
            </w:pPr>
            <w:r>
              <w:rPr>
                <w:rFonts w:hint="eastAsia" w:ascii="宋体" w:hAnsi="宋体"/>
                <w:color w:val="000000"/>
                <w:sz w:val="18"/>
                <w:szCs w:val="18"/>
              </w:rPr>
              <w:t>11</w:t>
            </w:r>
            <w:r>
              <w:rPr>
                <w:rStyle w:val="285"/>
                <w:rFonts w:ascii="宋体" w:hAnsi="宋体" w:cs="Arial"/>
                <w:color w:val="000000"/>
                <w:sz w:val="18"/>
                <w:szCs w:val="18"/>
              </w:rPr>
              <w:t>——</w:t>
            </w:r>
            <w:r>
              <w:rPr>
                <w:rFonts w:hint="eastAsia" w:ascii="宋体" w:hAnsi="宋体"/>
                <w:color w:val="000000"/>
                <w:sz w:val="18"/>
                <w:szCs w:val="18"/>
              </w:rPr>
              <w:t>均衡室压力计</w:t>
            </w:r>
          </w:p>
        </w:tc>
      </w:tr>
      <w:tr>
        <w:tblPrEx>
          <w:tblCellMar>
            <w:top w:w="0" w:type="dxa"/>
            <w:left w:w="108" w:type="dxa"/>
            <w:bottom w:w="0" w:type="dxa"/>
            <w:right w:w="108" w:type="dxa"/>
          </w:tblCellMar>
        </w:tblPrEx>
        <w:trPr>
          <w:jc w:val="center"/>
        </w:trPr>
        <w:tc>
          <w:tcPr>
            <w:tcW w:w="4923" w:type="dxa"/>
            <w:vAlign w:val="center"/>
          </w:tcPr>
          <w:p>
            <w:pPr>
              <w:snapToGrid w:val="0"/>
              <w:spacing w:line="360" w:lineRule="exact"/>
              <w:rPr>
                <w:rFonts w:ascii="宋体" w:hAnsi="宋体"/>
                <w:color w:val="000000"/>
                <w:sz w:val="18"/>
                <w:szCs w:val="18"/>
              </w:rPr>
            </w:pPr>
            <w:r>
              <w:rPr>
                <w:rFonts w:hint="eastAsia" w:ascii="宋体" w:hAnsi="宋体"/>
                <w:color w:val="000000"/>
                <w:sz w:val="18"/>
                <w:szCs w:val="18"/>
              </w:rPr>
              <w:t>6</w:t>
            </w:r>
            <w:r>
              <w:rPr>
                <w:rStyle w:val="285"/>
                <w:rFonts w:ascii="宋体" w:hAnsi="宋体" w:cs="Arial"/>
                <w:color w:val="000000"/>
                <w:sz w:val="18"/>
                <w:szCs w:val="18"/>
              </w:rPr>
              <w:t>——</w:t>
            </w:r>
            <w:r>
              <w:rPr>
                <w:rFonts w:hint="eastAsia" w:ascii="宋体" w:hAnsi="宋体"/>
                <w:color w:val="000000"/>
                <w:sz w:val="18"/>
                <w:szCs w:val="18"/>
              </w:rPr>
              <w:t>可垂直调节的台面</w:t>
            </w:r>
          </w:p>
        </w:tc>
        <w:tc>
          <w:tcPr>
            <w:tcW w:w="3957" w:type="dxa"/>
            <w:vAlign w:val="center"/>
          </w:tcPr>
          <w:p>
            <w:pPr>
              <w:snapToGrid w:val="0"/>
              <w:spacing w:line="360" w:lineRule="exact"/>
              <w:rPr>
                <w:rFonts w:ascii="宋体" w:hAnsi="宋体"/>
                <w:color w:val="000000"/>
                <w:sz w:val="18"/>
                <w:szCs w:val="18"/>
              </w:rPr>
            </w:pPr>
          </w:p>
        </w:tc>
      </w:tr>
    </w:tbl>
    <w:p>
      <w:pPr>
        <w:pStyle w:val="94"/>
        <w:numPr>
          <w:ilvl w:val="0"/>
          <w:numId w:val="0"/>
        </w:numPr>
        <w:spacing w:before="156" w:after="156"/>
        <w:ind w:left="420"/>
      </w:pPr>
      <w:r>
        <w:rPr>
          <w:rFonts w:hint="eastAsia"/>
        </w:rPr>
        <w:t>图</w:t>
      </w:r>
      <w:r>
        <w:t>F</w:t>
      </w:r>
      <w:r>
        <w:rPr>
          <w:rFonts w:hint="eastAsia"/>
        </w:rPr>
        <w:t>.1 吸油烟机油脂分离度试验装置示意图</w:t>
      </w:r>
    </w:p>
    <w:p>
      <w:pPr>
        <w:pStyle w:val="67"/>
        <w:ind w:firstLine="0" w:firstLineChars="0"/>
        <w:jc w:val="center"/>
      </w:pPr>
      <w:r>
        <w:drawing>
          <wp:inline distT="0" distB="0" distL="0" distR="0">
            <wp:extent cx="4008120" cy="49834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0" y="0"/>
                      <a:ext cx="4008120" cy="4983480"/>
                    </a:xfrm>
                    <a:prstGeom prst="rect">
                      <a:avLst/>
                    </a:prstGeom>
                    <a:noFill/>
                    <a:ln>
                      <a:noFill/>
                    </a:ln>
                  </pic:spPr>
                </pic:pic>
              </a:graphicData>
            </a:graphic>
          </wp:inline>
        </w:drawing>
      </w:r>
    </w:p>
    <w:tbl>
      <w:tblPr>
        <w:tblStyle w:val="3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11"/>
        <w:gridCol w:w="3148"/>
        <w:gridCol w:w="32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11" w:type="dxa"/>
          </w:tcPr>
          <w:p>
            <w:pPr>
              <w:pStyle w:val="67"/>
              <w:ind w:firstLine="360"/>
              <w:rPr>
                <w:sz w:val="18"/>
              </w:rPr>
            </w:pPr>
            <w:r>
              <w:rPr>
                <w:sz w:val="18"/>
              </w:rPr>
              <w:t>说明</w:t>
            </w:r>
          </w:p>
        </w:tc>
        <w:tc>
          <w:tcPr>
            <w:tcW w:w="3148" w:type="dxa"/>
          </w:tcPr>
          <w:p>
            <w:pPr>
              <w:pStyle w:val="67"/>
              <w:ind w:firstLine="360"/>
              <w:rPr>
                <w:sz w:val="18"/>
              </w:rPr>
            </w:pPr>
          </w:p>
        </w:tc>
        <w:tc>
          <w:tcPr>
            <w:tcW w:w="3211" w:type="dxa"/>
          </w:tcPr>
          <w:p>
            <w:pPr>
              <w:pStyle w:val="67"/>
              <w:ind w:firstLine="360"/>
              <w:rPr>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11" w:type="dxa"/>
          </w:tcPr>
          <w:p>
            <w:pPr>
              <w:pStyle w:val="67"/>
              <w:ind w:firstLine="360"/>
              <w:rPr>
                <w:sz w:val="18"/>
              </w:rPr>
            </w:pPr>
            <w:r>
              <w:rPr>
                <w:rFonts w:hint="eastAsia"/>
                <w:sz w:val="18"/>
              </w:rPr>
              <w:t>1—滴液系统</w:t>
            </w:r>
          </w:p>
        </w:tc>
        <w:tc>
          <w:tcPr>
            <w:tcW w:w="3148" w:type="dxa"/>
          </w:tcPr>
          <w:p>
            <w:pPr>
              <w:pStyle w:val="67"/>
              <w:ind w:firstLine="360"/>
              <w:rPr>
                <w:sz w:val="18"/>
              </w:rPr>
            </w:pPr>
          </w:p>
        </w:tc>
        <w:tc>
          <w:tcPr>
            <w:tcW w:w="3211" w:type="dxa"/>
          </w:tcPr>
          <w:p>
            <w:pPr>
              <w:pStyle w:val="67"/>
              <w:ind w:firstLine="360"/>
              <w:rPr>
                <w:sz w:val="18"/>
              </w:rPr>
            </w:pPr>
            <w:r>
              <w:rPr>
                <w:rFonts w:hint="eastAsia"/>
                <w:sz w:val="18"/>
              </w:rPr>
              <w:t xml:space="preserve">5—均衡室压力计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11" w:type="dxa"/>
          </w:tcPr>
          <w:p>
            <w:pPr>
              <w:pStyle w:val="67"/>
              <w:ind w:firstLine="360"/>
              <w:rPr>
                <w:sz w:val="18"/>
              </w:rPr>
            </w:pPr>
            <w:r>
              <w:rPr>
                <w:rFonts w:hint="eastAsia"/>
                <w:sz w:val="18"/>
              </w:rPr>
              <w:t>2—试验用平底锅</w:t>
            </w:r>
          </w:p>
        </w:tc>
        <w:tc>
          <w:tcPr>
            <w:tcW w:w="3148" w:type="dxa"/>
          </w:tcPr>
          <w:p>
            <w:pPr>
              <w:pStyle w:val="67"/>
              <w:ind w:firstLine="360"/>
              <w:rPr>
                <w:sz w:val="18"/>
              </w:rPr>
            </w:pPr>
          </w:p>
        </w:tc>
        <w:tc>
          <w:tcPr>
            <w:tcW w:w="3211" w:type="dxa"/>
          </w:tcPr>
          <w:p>
            <w:pPr>
              <w:pStyle w:val="67"/>
              <w:ind w:firstLine="360"/>
              <w:rPr>
                <w:sz w:val="18"/>
              </w:rPr>
            </w:pPr>
            <w:r>
              <w:rPr>
                <w:rFonts w:hint="eastAsia"/>
                <w:sz w:val="18"/>
              </w:rPr>
              <w:t>6—独立过滤器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11" w:type="dxa"/>
          </w:tcPr>
          <w:p>
            <w:pPr>
              <w:pStyle w:val="67"/>
              <w:ind w:firstLine="360"/>
              <w:rPr>
                <w:sz w:val="18"/>
              </w:rPr>
            </w:pPr>
            <w:r>
              <w:rPr>
                <w:rFonts w:hint="eastAsia"/>
                <w:sz w:val="18"/>
              </w:rPr>
              <w:t>3—电炉</w:t>
            </w:r>
          </w:p>
        </w:tc>
        <w:tc>
          <w:tcPr>
            <w:tcW w:w="3148" w:type="dxa"/>
          </w:tcPr>
          <w:p>
            <w:pPr>
              <w:pStyle w:val="67"/>
              <w:ind w:firstLine="360"/>
              <w:rPr>
                <w:sz w:val="18"/>
              </w:rPr>
            </w:pPr>
          </w:p>
        </w:tc>
        <w:tc>
          <w:tcPr>
            <w:tcW w:w="3211" w:type="dxa"/>
          </w:tcPr>
          <w:p>
            <w:pPr>
              <w:pStyle w:val="67"/>
              <w:ind w:firstLine="360"/>
              <w:rPr>
                <w:sz w:val="18"/>
              </w:rPr>
            </w:pPr>
            <w:r>
              <w:rPr>
                <w:rFonts w:hint="eastAsia"/>
                <w:sz w:val="18"/>
              </w:rPr>
              <w:t xml:space="preserve">7—均衡室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11" w:type="dxa"/>
          </w:tcPr>
          <w:p>
            <w:pPr>
              <w:pStyle w:val="67"/>
              <w:ind w:firstLine="360"/>
              <w:rPr>
                <w:sz w:val="18"/>
              </w:rPr>
            </w:pPr>
            <w:r>
              <w:rPr>
                <w:rFonts w:hint="eastAsia"/>
                <w:sz w:val="18"/>
              </w:rPr>
              <w:t>4—其他烹饪烟气吸排装置</w:t>
            </w:r>
          </w:p>
        </w:tc>
        <w:tc>
          <w:tcPr>
            <w:tcW w:w="3148" w:type="dxa"/>
          </w:tcPr>
          <w:p>
            <w:pPr>
              <w:pStyle w:val="67"/>
              <w:ind w:firstLine="360"/>
              <w:rPr>
                <w:sz w:val="18"/>
              </w:rPr>
            </w:pPr>
          </w:p>
        </w:tc>
        <w:tc>
          <w:tcPr>
            <w:tcW w:w="3211" w:type="dxa"/>
          </w:tcPr>
          <w:p>
            <w:pPr>
              <w:pStyle w:val="67"/>
              <w:ind w:firstLine="360"/>
              <w:rPr>
                <w:sz w:val="18"/>
              </w:rPr>
            </w:pPr>
            <w:r>
              <w:rPr>
                <w:rFonts w:hint="eastAsia"/>
                <w:sz w:val="18"/>
              </w:rPr>
              <w:t>8—辅助风机</w:t>
            </w:r>
          </w:p>
        </w:tc>
      </w:tr>
    </w:tbl>
    <w:p>
      <w:pPr>
        <w:pStyle w:val="94"/>
        <w:numPr>
          <w:ilvl w:val="0"/>
          <w:numId w:val="0"/>
        </w:numPr>
        <w:spacing w:before="156" w:after="156"/>
        <w:ind w:left="420"/>
      </w:pPr>
      <w:r>
        <w:rPr>
          <w:rFonts w:hint="eastAsia"/>
        </w:rPr>
        <w:t>图</w:t>
      </w:r>
      <w:r>
        <w:t>F</w:t>
      </w:r>
      <w:r>
        <w:rPr>
          <w:rFonts w:hint="eastAsia"/>
        </w:rPr>
        <w:t>.</w:t>
      </w:r>
      <w:r>
        <w:t>2</w:t>
      </w:r>
      <w:r>
        <w:rPr>
          <w:rFonts w:hint="eastAsia"/>
        </w:rPr>
        <w:t xml:space="preserve"> 其他烹饪烟气吸排装置油脂分离度试验装置示意图</w:t>
      </w:r>
    </w:p>
    <w:p>
      <w:pPr>
        <w:pStyle w:val="67"/>
        <w:ind w:firstLine="0" w:firstLineChars="0"/>
        <w:jc w:val="center"/>
      </w:pPr>
      <w:r>
        <w:rPr>
          <w:rFonts w:hint="eastAsia"/>
          <w:color w:val="000000" w:themeColor="text1"/>
          <w14:textFill>
            <w14:solidFill>
              <w14:schemeClr w14:val="tx1"/>
            </w14:solidFill>
          </w14:textFill>
        </w:rPr>
        <w:drawing>
          <wp:inline distT="0" distB="0" distL="0" distR="0">
            <wp:extent cx="4737735" cy="2268220"/>
            <wp:effectExtent l="0" t="0" r="5715" b="0"/>
            <wp:docPr id="8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
                    <pic:cNvPicPr>
                      <a:picLocks noChangeAspect="1" noChangeArrowheads="1"/>
                    </pic:cNvPicPr>
                  </pic:nvPicPr>
                  <pic:blipFill>
                    <a:blip r:embed="rId156" cstate="print"/>
                    <a:srcRect l="14751" t="27692" r="20951" b="23077"/>
                    <a:stretch>
                      <a:fillRect/>
                    </a:stretch>
                  </pic:blipFill>
                  <pic:spPr>
                    <a:xfrm>
                      <a:off x="0" y="0"/>
                      <a:ext cx="4758865" cy="2278559"/>
                    </a:xfrm>
                    <a:prstGeom prst="rect">
                      <a:avLst/>
                    </a:prstGeom>
                    <a:noFill/>
                    <a:ln w="9525">
                      <a:noFill/>
                      <a:miter lim="800000"/>
                      <a:headEnd/>
                      <a:tailEnd/>
                    </a:ln>
                  </pic:spPr>
                </pic:pic>
              </a:graphicData>
            </a:graphic>
          </wp:inline>
        </w:drawing>
      </w:r>
    </w:p>
    <w:p>
      <w:pPr>
        <w:pStyle w:val="67"/>
        <w:ind w:firstLine="360"/>
        <w:rPr>
          <w:sz w:val="18"/>
        </w:rPr>
      </w:pPr>
      <w:r>
        <w:rPr>
          <w:rFonts w:hint="eastAsia"/>
          <w:sz w:val="18"/>
        </w:rPr>
        <w:t>a）两眼及多眼其他烹饪烟气吸排装置平底锅放置位置         b）单眼其他烹饪烟气吸排装置平底锅放置位置</w:t>
      </w:r>
    </w:p>
    <w:p>
      <w:pPr>
        <w:pStyle w:val="67"/>
        <w:ind w:firstLine="360"/>
        <w:rPr>
          <w:sz w:val="18"/>
        </w:rPr>
      </w:pPr>
      <w:r>
        <w:rPr>
          <w:rFonts w:hint="eastAsia"/>
          <w:sz w:val="18"/>
        </w:rPr>
        <w:t>1—试验用平底锅；</w:t>
      </w:r>
    </w:p>
    <w:p>
      <w:pPr>
        <w:pStyle w:val="67"/>
        <w:ind w:firstLine="360"/>
        <w:rPr>
          <w:sz w:val="18"/>
        </w:rPr>
      </w:pPr>
      <w:r>
        <w:rPr>
          <w:rFonts w:hint="eastAsia"/>
          <w:sz w:val="18"/>
        </w:rPr>
        <w:t>2—其他烹饪烟气吸排装置台面。</w:t>
      </w:r>
    </w:p>
    <w:p>
      <w:pPr>
        <w:pStyle w:val="94"/>
        <w:numPr>
          <w:ilvl w:val="0"/>
          <w:numId w:val="0"/>
        </w:numPr>
        <w:spacing w:before="156" w:after="156"/>
        <w:ind w:left="420"/>
      </w:pPr>
      <w:r>
        <w:t>图F</w:t>
      </w:r>
      <w:r>
        <w:rPr>
          <w:rFonts w:hint="eastAsia"/>
        </w:rPr>
        <w:t>.3 其他烹饪烟气吸排装置试验用平底锅放置位置</w:t>
      </w:r>
    </w:p>
    <w:p>
      <w:pPr>
        <w:pStyle w:val="67"/>
        <w:ind w:firstLine="420"/>
      </w:pPr>
      <w:r>
        <w:rPr>
          <w:rFonts w:hint="eastAsia"/>
        </w:rPr>
        <w:t xml:space="preserve">在均衡室内安装有试验装置用独立过滤器，独立过滤器与主箱体之间要求密封。试验装置用独立过滤器的要求见 </w:t>
      </w:r>
      <w:r>
        <w:t>F</w:t>
      </w:r>
      <w:r>
        <w:rPr>
          <w:rFonts w:hint="eastAsia"/>
        </w:rPr>
        <w:t>.1.</w:t>
      </w:r>
      <w:r>
        <w:t>4</w:t>
      </w:r>
      <w:r>
        <w:rPr>
          <w:rFonts w:hint="eastAsia"/>
        </w:rPr>
        <w:t>。</w:t>
      </w:r>
    </w:p>
    <w:p>
      <w:pPr>
        <w:pStyle w:val="90"/>
        <w:spacing w:before="156" w:after="156"/>
      </w:pPr>
      <w:r>
        <w:rPr>
          <w:rFonts w:hint="eastAsia"/>
        </w:rPr>
        <w:t>温控系统</w:t>
      </w:r>
    </w:p>
    <w:p>
      <w:pPr>
        <w:pStyle w:val="67"/>
        <w:autoSpaceDE/>
        <w:autoSpaceDN/>
        <w:ind w:firstLine="420"/>
      </w:pPr>
      <w:r>
        <w:rPr>
          <w:rFonts w:hint="eastAsia"/>
        </w:rPr>
        <w:t>通过工作台上设置的功率为2000</w:t>
      </w:r>
      <w:r>
        <w:t> </w:t>
      </w:r>
      <w:r>
        <w:rPr>
          <w:rFonts w:hint="eastAsia"/>
        </w:rPr>
        <w:t>W电炉为试验锅加热，用热电偶来检测锅底温度，并通过温控系统的自动监制，使试验过程中锅底温度始终保持在（290±</w:t>
      </w:r>
      <w:r>
        <w:t>5</w:t>
      </w:r>
      <w:r>
        <w:rPr>
          <w:rFonts w:hint="eastAsia"/>
        </w:rPr>
        <w:t>）℃。</w:t>
      </w:r>
    </w:p>
    <w:p>
      <w:pPr>
        <w:pStyle w:val="67"/>
        <w:autoSpaceDE/>
        <w:autoSpaceDN/>
        <w:ind w:firstLine="420"/>
      </w:pPr>
      <w:r>
        <w:rPr>
          <w:rFonts w:hint="eastAsia"/>
        </w:rPr>
        <w:t>试验锅及热电偶的安装位置、尺寸要求参照图</w:t>
      </w:r>
      <w:r>
        <w:t>E</w:t>
      </w:r>
      <w:r>
        <w:rPr>
          <w:rFonts w:hint="eastAsia"/>
        </w:rPr>
        <w:t>.</w:t>
      </w:r>
      <w:r>
        <w:t>3</w:t>
      </w:r>
      <w:r>
        <w:rPr>
          <w:rFonts w:hint="eastAsia"/>
        </w:rPr>
        <w:t>。试验锅在试验装置中的位置参照图</w:t>
      </w:r>
      <w:r>
        <w:t>F</w:t>
      </w:r>
      <w:r>
        <w:rPr>
          <w:rFonts w:hint="eastAsia"/>
        </w:rPr>
        <w:t>.1和F.</w:t>
      </w:r>
      <w:r>
        <w:t>3</w:t>
      </w:r>
      <w:r>
        <w:rPr>
          <w:rFonts w:hint="eastAsia"/>
        </w:rPr>
        <w:t>。为防止试验过程中油滴飞溅，应在锅上方放置防溅圈，防溅圈的尺寸要求参照图F.4。电炉发热盘直径应与试验锅直径相等。</w:t>
      </w:r>
    </w:p>
    <w:p>
      <w:pPr>
        <w:pStyle w:val="67"/>
        <w:autoSpaceDE/>
        <w:autoSpaceDN/>
        <w:ind w:firstLine="0" w:firstLineChars="0"/>
        <w:jc w:val="center"/>
      </w:pPr>
      <w:r>
        <w:drawing>
          <wp:inline distT="0" distB="0" distL="0" distR="0">
            <wp:extent cx="5106670" cy="16789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7"/>
                    <a:stretch>
                      <a:fillRect/>
                    </a:stretch>
                  </pic:blipFill>
                  <pic:spPr>
                    <a:xfrm>
                      <a:off x="0" y="0"/>
                      <a:ext cx="5117328" cy="1682799"/>
                    </a:xfrm>
                    <a:prstGeom prst="rect">
                      <a:avLst/>
                    </a:prstGeom>
                  </pic:spPr>
                </pic:pic>
              </a:graphicData>
            </a:graphic>
          </wp:inline>
        </w:drawing>
      </w:r>
    </w:p>
    <w:p>
      <w:pPr>
        <w:pStyle w:val="94"/>
        <w:numPr>
          <w:ilvl w:val="0"/>
          <w:numId w:val="0"/>
        </w:numPr>
        <w:spacing w:before="156" w:after="156"/>
      </w:pPr>
      <w:r>
        <w:rPr>
          <w:rFonts w:hint="eastAsia"/>
        </w:rPr>
        <w:t>图F.</w:t>
      </w:r>
      <w:r>
        <w:t>4  防溅圈的尺寸要求</w:t>
      </w:r>
    </w:p>
    <w:p>
      <w:pPr>
        <w:pStyle w:val="90"/>
        <w:spacing w:before="156" w:after="156"/>
      </w:pPr>
      <w:r>
        <w:rPr>
          <w:rFonts w:hint="eastAsia"/>
        </w:rPr>
        <w:t>滴液系统</w:t>
      </w:r>
    </w:p>
    <w:p>
      <w:pPr>
        <w:pStyle w:val="67"/>
        <w:autoSpaceDE/>
        <w:autoSpaceDN/>
        <w:ind w:firstLine="420"/>
      </w:pPr>
      <w:r>
        <w:rPr>
          <w:rFonts w:hint="eastAsia"/>
        </w:rPr>
        <w:t>滴液系统用于定时、定量向电炉上加热至（290±</w:t>
      </w:r>
      <w:r>
        <w:t>5</w:t>
      </w:r>
      <w:r>
        <w:rPr>
          <w:rFonts w:hint="eastAsia"/>
        </w:rPr>
        <w:t>）℃ 的平底锅滴加室温蒸馏水。滴头与锅底的距离为（225±5）mm。应保证总量为69</w:t>
      </w:r>
      <w:r>
        <w:t> </w:t>
      </w:r>
      <w:r>
        <w:rPr>
          <w:rFonts w:hint="eastAsia"/>
        </w:rPr>
        <w:t>mL的室温蒸馏水在30</w:t>
      </w:r>
      <w:r>
        <w:t> </w:t>
      </w:r>
      <w:r>
        <w:rPr>
          <w:rFonts w:hint="eastAsia"/>
        </w:rPr>
        <w:t>min±15</w:t>
      </w:r>
      <w:r>
        <w:t> </w:t>
      </w:r>
      <w:r>
        <w:rPr>
          <w:rFonts w:hint="eastAsia"/>
        </w:rPr>
        <w:t>s内匀速滴完。</w:t>
      </w:r>
    </w:p>
    <w:p>
      <w:pPr>
        <w:pStyle w:val="67"/>
        <w:autoSpaceDE/>
        <w:autoSpaceDN/>
        <w:ind w:firstLine="420"/>
      </w:pPr>
      <w:r>
        <w:rPr>
          <w:rFonts w:hint="eastAsia"/>
        </w:rPr>
        <w:t>锅及热电偶的安装位置参照图</w:t>
      </w:r>
      <w:r>
        <w:t>E</w:t>
      </w:r>
      <w:r>
        <w:rPr>
          <w:rFonts w:hint="eastAsia"/>
        </w:rPr>
        <w:t>.</w:t>
      </w:r>
      <w:r>
        <w:t>3</w:t>
      </w:r>
      <w:r>
        <w:rPr>
          <w:rFonts w:hint="eastAsia"/>
        </w:rPr>
        <w:t>。</w:t>
      </w:r>
    </w:p>
    <w:p>
      <w:pPr>
        <w:pStyle w:val="90"/>
        <w:spacing w:before="156" w:after="156"/>
      </w:pPr>
      <w:r>
        <w:rPr>
          <w:rFonts w:hint="eastAsia"/>
        </w:rPr>
        <w:t>试验装置用独立过滤器</w:t>
      </w:r>
    </w:p>
    <w:p>
      <w:pPr>
        <w:pStyle w:val="67"/>
        <w:autoSpaceDE/>
        <w:autoSpaceDN/>
        <w:ind w:firstLine="420"/>
      </w:pPr>
      <w:r>
        <w:rPr>
          <w:rFonts w:hint="eastAsia"/>
        </w:rPr>
        <w:t>采用对气溶胶悬浮物绝对过滤效率不低于99.995</w:t>
      </w:r>
      <w:r>
        <w:t> </w:t>
      </w:r>
      <w:r>
        <w:rPr>
          <w:rFonts w:hint="eastAsia"/>
        </w:rPr>
        <w:t>%的独立过滤器，独立过滤器的过滤效率按 GB/T  6165的试验方法进行检测。</w:t>
      </w:r>
    </w:p>
    <w:p>
      <w:pPr>
        <w:pStyle w:val="90"/>
        <w:spacing w:before="156" w:after="156"/>
      </w:pPr>
      <w:r>
        <w:rPr>
          <w:rFonts w:hint="eastAsia"/>
        </w:rPr>
        <w:t>辅助风机</w:t>
      </w:r>
    </w:p>
    <w:p>
      <w:pPr>
        <w:pStyle w:val="67"/>
        <w:ind w:firstLine="420"/>
      </w:pPr>
      <w:r>
        <w:rPr>
          <w:rFonts w:hint="eastAsia"/>
        </w:rPr>
        <w:t>独立过滤器顶部安装有辅助风机，其主要技术参数如下：</w:t>
      </w:r>
    </w:p>
    <w:p>
      <w:pPr>
        <w:pStyle w:val="67"/>
        <w:ind w:firstLine="420"/>
      </w:pPr>
      <w:r>
        <w:rPr>
          <w:rFonts w:hint="eastAsia"/>
        </w:rPr>
        <w:t>风量：300</w:t>
      </w:r>
      <w:r>
        <w:t> </w:t>
      </w:r>
      <w:r>
        <w:rPr>
          <w:rFonts w:hint="eastAsia"/>
        </w:rPr>
        <w:t>m</w:t>
      </w:r>
      <w:r>
        <w:rPr>
          <w:rFonts w:hint="eastAsia"/>
          <w:vertAlign w:val="superscript"/>
        </w:rPr>
        <w:t>3</w:t>
      </w:r>
      <w:r>
        <w:rPr>
          <w:rFonts w:hint="eastAsia"/>
        </w:rPr>
        <w:t>/h～1600</w:t>
      </w:r>
      <w:r>
        <w:t> </w:t>
      </w:r>
      <w:r>
        <w:rPr>
          <w:rFonts w:hint="eastAsia"/>
        </w:rPr>
        <w:t>m</w:t>
      </w:r>
      <w:r>
        <w:rPr>
          <w:rFonts w:hint="eastAsia"/>
          <w:vertAlign w:val="superscript"/>
        </w:rPr>
        <w:t>3</w:t>
      </w:r>
      <w:r>
        <w:rPr>
          <w:rFonts w:hint="eastAsia"/>
        </w:rPr>
        <w:t>/h；</w:t>
      </w:r>
    </w:p>
    <w:p>
      <w:pPr>
        <w:pStyle w:val="67"/>
        <w:ind w:firstLine="420"/>
      </w:pPr>
      <w:r>
        <w:rPr>
          <w:rFonts w:hint="eastAsia"/>
        </w:rPr>
        <w:t>全压：300</w:t>
      </w:r>
      <w:r>
        <w:t> </w:t>
      </w:r>
      <w:r>
        <w:rPr>
          <w:rFonts w:hint="eastAsia"/>
        </w:rPr>
        <w:t>Pa～400</w:t>
      </w:r>
      <w:r>
        <w:t> </w:t>
      </w:r>
      <w:r>
        <w:rPr>
          <w:rFonts w:hint="eastAsia"/>
        </w:rPr>
        <w:t>Pa。</w:t>
      </w:r>
    </w:p>
    <w:p>
      <w:pPr>
        <w:pStyle w:val="89"/>
        <w:spacing w:before="156" w:after="156"/>
      </w:pPr>
      <w:bookmarkStart w:id="243" w:name="_Toc65063262"/>
      <w:r>
        <w:rPr>
          <w:rFonts w:hint="eastAsia"/>
        </w:rPr>
        <w:t>试验器材</w:t>
      </w:r>
      <w:bookmarkEnd w:id="243"/>
    </w:p>
    <w:p>
      <w:pPr>
        <w:pStyle w:val="90"/>
        <w:spacing w:before="156" w:after="156"/>
      </w:pPr>
      <w:r>
        <w:rPr>
          <w:rFonts w:hint="eastAsia"/>
        </w:rPr>
        <w:t>电子天平</w:t>
      </w:r>
    </w:p>
    <w:p>
      <w:pPr>
        <w:pStyle w:val="224"/>
      </w:pPr>
      <w:r>
        <w:rPr>
          <w:rFonts w:hint="eastAsia"/>
        </w:rPr>
        <w:t>量程为</w:t>
      </w:r>
      <w:r>
        <w:t>0 kg</w:t>
      </w:r>
      <w:r>
        <w:rPr>
          <w:rFonts w:hint="eastAsia"/>
        </w:rPr>
        <w:t>～</w:t>
      </w:r>
      <w:r>
        <w:t>60 kg（对于</w:t>
      </w:r>
      <w:r>
        <w:rPr>
          <w:rFonts w:hint="eastAsia"/>
        </w:rPr>
        <w:t>其他</w:t>
      </w:r>
      <w:r>
        <w:t>烹饪烟气吸排装置，量程为0 kg</w:t>
      </w:r>
      <w:r>
        <w:rPr>
          <w:rFonts w:hint="eastAsia"/>
        </w:rPr>
        <w:t>～150</w:t>
      </w:r>
      <w:r>
        <w:t> kg）。</w:t>
      </w:r>
    </w:p>
    <w:p>
      <w:pPr>
        <w:pStyle w:val="224"/>
      </w:pPr>
      <w:r>
        <w:rPr>
          <w:rFonts w:hint="eastAsia"/>
        </w:rPr>
        <w:t>精度为±</w:t>
      </w:r>
      <w:r>
        <w:t>0.1 g。</w:t>
      </w:r>
    </w:p>
    <w:p>
      <w:pPr>
        <w:pStyle w:val="90"/>
        <w:spacing w:before="156" w:after="156"/>
      </w:pPr>
      <w:r>
        <w:rPr>
          <w:rFonts w:hint="eastAsia"/>
        </w:rPr>
        <w:t>试验用油</w:t>
      </w:r>
    </w:p>
    <w:p>
      <w:pPr>
        <w:pStyle w:val="67"/>
        <w:ind w:firstLine="420"/>
        <w:rPr>
          <w:rFonts w:cs="黑体"/>
        </w:rPr>
      </w:pPr>
      <w:r>
        <w:rPr>
          <w:rFonts w:hint="eastAsia"/>
        </w:rPr>
        <w:t>推荐选用</w:t>
      </w:r>
      <w:r>
        <w:t>20 </w:t>
      </w:r>
      <w:r>
        <w:rPr>
          <w:rFonts w:hint="eastAsia" w:hAnsi="宋体" w:cs="宋体"/>
        </w:rPr>
        <w:t>℃</w:t>
      </w:r>
      <w:r>
        <w:rPr>
          <w:rFonts w:hint="eastAsia"/>
        </w:rPr>
        <w:t>时粘度为 （70±10）mm</w:t>
      </w:r>
      <w:r>
        <w:rPr>
          <w:rFonts w:hint="eastAsia"/>
          <w:vertAlign w:val="superscript"/>
        </w:rPr>
        <w:t>2</w:t>
      </w:r>
      <w:r>
        <w:rPr>
          <w:rFonts w:hint="eastAsia"/>
        </w:rPr>
        <w:t>/s 的玉米油</w:t>
      </w:r>
      <w:r>
        <w:rPr>
          <w:rFonts w:hint="eastAsia" w:cs="黑体"/>
        </w:rPr>
        <w:t>。</w:t>
      </w:r>
    </w:p>
    <w:p>
      <w:pPr>
        <w:pStyle w:val="90"/>
        <w:spacing w:before="156" w:after="156"/>
        <w:rPr>
          <w:snapToGrid w:val="0"/>
        </w:rPr>
      </w:pPr>
      <w:r>
        <w:rPr>
          <w:rFonts w:hint="eastAsia"/>
          <w:snapToGrid w:val="0"/>
        </w:rPr>
        <w:t>安装高度</w:t>
      </w:r>
    </w:p>
    <w:p>
      <w:pPr>
        <w:pStyle w:val="67"/>
        <w:ind w:firstLine="420"/>
      </w:pPr>
      <w:r>
        <w:rPr>
          <w:rFonts w:hint="eastAsia"/>
          <w:snapToGrid w:val="0"/>
          <w:color w:val="000000"/>
          <w:szCs w:val="21"/>
        </w:rPr>
        <w:t>试验时，吸油烟机最低部位与电炉发热盘表面之间的垂直</w:t>
      </w:r>
      <w:r>
        <w:rPr>
          <w:snapToGrid w:val="0"/>
          <w:color w:val="000000"/>
          <w:szCs w:val="21"/>
        </w:rPr>
        <w:t>距离</w:t>
      </w:r>
      <w:r>
        <w:rPr>
          <w:rFonts w:hint="eastAsia"/>
          <w:snapToGrid w:val="0"/>
          <w:color w:val="000000"/>
          <w:szCs w:val="21"/>
        </w:rPr>
        <w:t>为</w:t>
      </w:r>
      <w:r>
        <w:rPr>
          <w:rFonts w:hint="eastAsia"/>
          <w:color w:val="000000"/>
        </w:rPr>
        <w:t>制造商随机提供的用户使用说明书中标识出的最小安装高度。</w:t>
      </w:r>
    </w:p>
    <w:p>
      <w:pPr>
        <w:pStyle w:val="89"/>
        <w:spacing w:before="156" w:after="156"/>
      </w:pPr>
      <w:bookmarkStart w:id="244" w:name="_Toc65063263"/>
      <w:r>
        <w:rPr>
          <w:rFonts w:hint="eastAsia"/>
        </w:rPr>
        <w:t>试验程序</w:t>
      </w:r>
      <w:bookmarkEnd w:id="244"/>
    </w:p>
    <w:p>
      <w:pPr>
        <w:pStyle w:val="90"/>
        <w:spacing w:before="156" w:after="156"/>
      </w:pPr>
      <w:r>
        <w:rPr>
          <w:rFonts w:hint="eastAsia"/>
        </w:rPr>
        <w:t>试验前称重</w:t>
      </w:r>
    </w:p>
    <w:p>
      <w:pPr>
        <w:pStyle w:val="224"/>
        <w:spacing w:line="320" w:lineRule="exact"/>
        <w:rPr>
          <w:rFonts w:hAnsi="宋体"/>
        </w:rPr>
      </w:pPr>
      <w:r>
        <w:rPr>
          <w:rFonts w:hint="eastAsia" w:hAnsi="宋体" w:cs="黑体"/>
          <w:kern w:val="0"/>
        </w:rPr>
        <w:t>精确称量并记录被测烹饪烟气吸排装置试验前的质量</w:t>
      </w:r>
      <w:r>
        <w:rPr>
          <w:rFonts w:hAnsi="宋体"/>
          <w:color w:val="000000"/>
          <w:position w:val="-12"/>
        </w:rPr>
        <w:object>
          <v:shape id="_x0000_i1074" o:spt="75" type="#_x0000_t75" style="height:18pt;width:12pt;" o:ole="t" filled="f" o:preferrelative="t" stroked="f" coordsize="21600,21600">
            <v:path/>
            <v:fill on="f" focussize="0,0"/>
            <v:stroke on="f" joinstyle="miter"/>
            <v:imagedata r:id="rId159" o:title=""/>
            <o:lock v:ext="edit" aspectratio="t"/>
            <w10:wrap type="none"/>
            <w10:anchorlock/>
          </v:shape>
          <o:OLEObject Type="Embed" ProgID="Equation.DSMT4" ShapeID="_x0000_i1074" DrawAspect="Content" ObjectID="_1468075774" r:id="rId158">
            <o:LockedField>false</o:LockedField>
          </o:OLEObject>
        </w:object>
      </w:r>
      <w:r>
        <w:rPr>
          <w:rFonts w:hint="eastAsia" w:hAnsi="宋体" w:cs="黑体"/>
          <w:kern w:val="0"/>
        </w:rPr>
        <w:t>，称量精度±0.</w:t>
      </w:r>
      <w:r>
        <w:rPr>
          <w:rFonts w:hAnsi="宋体" w:cs="黑体"/>
          <w:kern w:val="0"/>
        </w:rPr>
        <w:t>1 g</w:t>
      </w:r>
      <w:r>
        <w:rPr>
          <w:rFonts w:hint="eastAsia" w:hAnsi="宋体" w:cs="黑体"/>
          <w:kern w:val="0"/>
        </w:rPr>
        <w:t>。烹饪烟气吸排装置</w:t>
      </w:r>
      <w:r>
        <w:rPr>
          <w:rFonts w:hAnsi="宋体"/>
        </w:rPr>
        <w:t>的质量不包括</w:t>
      </w:r>
      <w:r>
        <w:rPr>
          <w:rFonts w:hint="eastAsia" w:hAnsi="宋体"/>
        </w:rPr>
        <w:t>随机过</w:t>
      </w:r>
      <w:r>
        <w:rPr>
          <w:rFonts w:hAnsi="宋体"/>
        </w:rPr>
        <w:t>滤器的</w:t>
      </w:r>
      <w:r>
        <w:rPr>
          <w:rFonts w:hint="eastAsia" w:hAnsi="宋体"/>
        </w:rPr>
        <w:t>质量</w:t>
      </w:r>
      <w:r>
        <w:rPr>
          <w:rFonts w:hAnsi="宋体"/>
        </w:rPr>
        <w:t>。</w:t>
      </w:r>
      <w:r>
        <w:rPr>
          <w:rFonts w:hint="eastAsia" w:hAnsi="宋体"/>
        </w:rPr>
        <w:t>随机过</w:t>
      </w:r>
      <w:r>
        <w:rPr>
          <w:rFonts w:hAnsi="宋体"/>
        </w:rPr>
        <w:t>滤器的质量</w:t>
      </w:r>
      <w:r>
        <w:rPr>
          <w:rFonts w:hint="eastAsia" w:hAnsi="宋体"/>
        </w:rPr>
        <w:t>单独在</w:t>
      </w:r>
      <w:r>
        <w:rPr>
          <w:rFonts w:hAnsi="宋体"/>
        </w:rPr>
        <w:t>50 </w:t>
      </w:r>
      <w:r>
        <w:rPr>
          <w:rFonts w:hint="eastAsia" w:hAnsi="宋体" w:cs="宋体"/>
        </w:rPr>
        <w:t>℃</w:t>
      </w:r>
      <w:r>
        <w:rPr>
          <w:rFonts w:hAnsi="宋体"/>
        </w:rPr>
        <w:t>的</w:t>
      </w:r>
      <w:r>
        <w:rPr>
          <w:rFonts w:hint="eastAsia" w:hAnsi="宋体"/>
        </w:rPr>
        <w:t>烘箱中干燥1</w:t>
      </w:r>
      <w:r>
        <w:rPr>
          <w:rFonts w:hAnsi="宋体"/>
        </w:rPr>
        <w:t> </w:t>
      </w:r>
      <w:r>
        <w:rPr>
          <w:rFonts w:hint="eastAsia" w:hAnsi="宋体"/>
        </w:rPr>
        <w:t>h 后立即称</w:t>
      </w:r>
      <w:r>
        <w:rPr>
          <w:rFonts w:hAnsi="宋体"/>
        </w:rPr>
        <w:t>量</w:t>
      </w:r>
      <w:r>
        <w:rPr>
          <w:rFonts w:hint="eastAsia" w:hAnsi="宋体"/>
        </w:rPr>
        <w:t>，记录为</w:t>
      </w:r>
      <w:r>
        <w:rPr>
          <w:rFonts w:hAnsi="宋体"/>
          <w:color w:val="000000"/>
          <w:position w:val="-12"/>
        </w:rPr>
        <w:object>
          <v:shape id="_x0000_i1075" o:spt="75" type="#_x0000_t75" style="height:18pt;width:11.25pt;" o:ole="t" filled="f" o:preferrelative="t" stroked="f" coordsize="21600,21600">
            <v:path/>
            <v:fill on="f" focussize="0,0"/>
            <v:stroke on="f" joinstyle="miter"/>
            <v:imagedata r:id="rId161" o:title=""/>
            <o:lock v:ext="edit" aspectratio="t"/>
            <w10:wrap type="none"/>
            <w10:anchorlock/>
          </v:shape>
          <o:OLEObject Type="Embed" ProgID="Equation.DSMT4" ShapeID="_x0000_i1075" DrawAspect="Content" ObjectID="_1468075775" r:id="rId160">
            <o:LockedField>false</o:LockedField>
          </o:OLEObject>
        </w:object>
      </w:r>
      <w:r>
        <w:rPr>
          <w:rFonts w:hint="eastAsia" w:hAnsi="宋体"/>
        </w:rPr>
        <w:t>。</w:t>
      </w:r>
    </w:p>
    <w:p>
      <w:pPr>
        <w:pStyle w:val="224"/>
        <w:spacing w:line="320" w:lineRule="exact"/>
      </w:pPr>
      <w:r>
        <w:rPr>
          <w:rFonts w:hint="eastAsia"/>
        </w:rPr>
        <w:t>精确称量并记录试验装置中用的独立过滤器在试验前的质量</w:t>
      </w:r>
      <w:r>
        <w:rPr>
          <w:rFonts w:hAnsi="宋体"/>
          <w:color w:val="000000"/>
          <w:position w:val="-12"/>
        </w:rPr>
        <w:object>
          <v:shape id="_x0000_i1076" o:spt="75" type="#_x0000_t75" style="height:18pt;width:11.25pt;" o:ole="t" filled="f" o:preferrelative="t" stroked="f" coordsize="21600,21600">
            <v:path/>
            <v:fill on="f" focussize="0,0"/>
            <v:stroke on="f" joinstyle="miter"/>
            <v:imagedata r:id="rId163" o:title=""/>
            <o:lock v:ext="edit" aspectratio="t"/>
            <w10:wrap type="none"/>
            <w10:anchorlock/>
          </v:shape>
          <o:OLEObject Type="Embed" ProgID="Equation.DSMT4" ShapeID="_x0000_i1076" DrawAspect="Content" ObjectID="_1468075776" r:id="rId162">
            <o:LockedField>false</o:LockedField>
          </o:OLEObject>
        </w:object>
      </w:r>
      <w:r>
        <w:rPr>
          <w:rFonts w:hint="eastAsia"/>
        </w:rPr>
        <w:t>，称量精度±0.</w:t>
      </w:r>
      <w:r>
        <w:t>1 g</w:t>
      </w:r>
      <w:r>
        <w:rPr>
          <w:rFonts w:hint="eastAsia"/>
        </w:rPr>
        <w:t>。该独立过滤器也应在</w:t>
      </w:r>
      <w:r>
        <w:t>50 </w:t>
      </w:r>
      <w:r>
        <w:rPr>
          <w:rFonts w:hint="eastAsia" w:hAnsi="宋体" w:cs="宋体"/>
        </w:rPr>
        <w:t>℃</w:t>
      </w:r>
      <w:r>
        <w:t>的</w:t>
      </w:r>
      <w:r>
        <w:rPr>
          <w:rFonts w:hint="eastAsia"/>
        </w:rPr>
        <w:t>烘箱中干燥 1</w:t>
      </w:r>
      <w:r>
        <w:t> </w:t>
      </w:r>
      <w:r>
        <w:rPr>
          <w:rFonts w:hint="eastAsia"/>
        </w:rPr>
        <w:t>h 后立即称</w:t>
      </w:r>
      <w:r>
        <w:t>量</w:t>
      </w:r>
      <w:r>
        <w:rPr>
          <w:rFonts w:hint="eastAsia"/>
        </w:rPr>
        <w:t>。</w:t>
      </w:r>
    </w:p>
    <w:p>
      <w:pPr>
        <w:pStyle w:val="224"/>
        <w:spacing w:line="240" w:lineRule="auto"/>
      </w:pPr>
      <w:r>
        <w:rPr>
          <w:rFonts w:hint="eastAsia" w:cs="黑体"/>
          <w:kern w:val="0"/>
        </w:rPr>
        <w:t>参照图</w:t>
      </w:r>
      <w:r>
        <w:t>F</w:t>
      </w:r>
      <w:r>
        <w:rPr>
          <w:rFonts w:hint="eastAsia"/>
        </w:rPr>
        <w:t>.1并按</w:t>
      </w:r>
      <w:r>
        <w:t>F</w:t>
      </w:r>
      <w:r>
        <w:rPr>
          <w:rFonts w:hint="eastAsia"/>
        </w:rPr>
        <w:t>.1.</w:t>
      </w:r>
      <w:r>
        <w:t>1</w:t>
      </w:r>
      <w:r>
        <w:rPr>
          <w:rFonts w:hint="eastAsia"/>
        </w:rPr>
        <w:t>的要求将被测器具安</w:t>
      </w:r>
      <w:r>
        <w:t>装在</w:t>
      </w:r>
      <w:r>
        <w:rPr>
          <w:rFonts w:hint="eastAsia"/>
        </w:rPr>
        <w:t>试验装置之中</w:t>
      </w:r>
      <w:r>
        <w:t>，</w:t>
      </w:r>
      <w:r>
        <w:rPr>
          <w:rFonts w:hint="eastAsia"/>
        </w:rPr>
        <w:t>保证在油烟发生室内部的气体须全部流经被测器具</w:t>
      </w:r>
      <w:r>
        <w:t>。</w:t>
      </w:r>
      <w:r>
        <w:rPr>
          <w:rFonts w:hint="eastAsia"/>
        </w:rPr>
        <w:t>带外置式风机的器具，在进行本试验过程中无需安装外部风机，可用辅助风机来代替外部风机达到要求的风量。</w:t>
      </w:r>
    </w:p>
    <w:p>
      <w:pPr>
        <w:pStyle w:val="224"/>
        <w:spacing w:line="240" w:lineRule="auto"/>
      </w:pPr>
      <w:r>
        <w:rPr>
          <w:rFonts w:hint="eastAsia" w:cs="黑体"/>
          <w:kern w:val="0"/>
        </w:rPr>
        <w:t>将试验装置用的独立过滤器按</w:t>
      </w:r>
      <w:r>
        <w:t>F.3.1.2</w:t>
      </w:r>
      <w:r>
        <w:rPr>
          <w:rFonts w:hint="eastAsia"/>
        </w:rPr>
        <w:t>称重后立即装入试验装置中，其各边与测试装置壁之间要求密封，均衡室的</w:t>
      </w:r>
      <w:r>
        <w:t>排气口与辅助风机</w:t>
      </w:r>
      <w:r>
        <w:rPr>
          <w:rFonts w:hint="eastAsia"/>
        </w:rPr>
        <w:t>连接，用以控制压力</w:t>
      </w:r>
      <w:r>
        <w:t>。</w:t>
      </w:r>
    </w:p>
    <w:p>
      <w:pPr>
        <w:pStyle w:val="224"/>
      </w:pPr>
      <w:r>
        <w:t>在试锅内加入</w:t>
      </w:r>
      <w:r>
        <w:rPr>
          <w:rFonts w:hint="eastAsia"/>
        </w:rPr>
        <w:t>（</w:t>
      </w:r>
      <w:r>
        <w:t>400</w:t>
      </w:r>
      <w:r>
        <w:rPr>
          <w:rFonts w:hAnsi="宋体"/>
        </w:rPr>
        <w:t>±</w:t>
      </w:r>
      <w:r>
        <w:t>10</w:t>
      </w:r>
      <w:r>
        <w:rPr>
          <w:rFonts w:hint="eastAsia"/>
        </w:rPr>
        <w:t>)</w:t>
      </w:r>
      <w:r>
        <w:t>mL试验用油，在额定电压、额定频率和最高转速档下启动被测器具并同时启动辅助风机，调整辅助风机使均衡室的静压力为零。系统在此状态下运转30 min，并按F.l.</w:t>
      </w:r>
      <w:r>
        <w:rPr>
          <w:rFonts w:hint="eastAsia"/>
        </w:rPr>
        <w:t>3</w:t>
      </w:r>
      <w:r>
        <w:t>调整好锅底部温度后，按F.1.</w:t>
      </w:r>
      <w:r>
        <w:rPr>
          <w:rFonts w:hint="eastAsia"/>
        </w:rPr>
        <w:t>4</w:t>
      </w:r>
      <w:r>
        <w:t>开始滴液，在规定时间内滴液结束后立即关闭温度控制系统，10 min后再关闭被测器具。</w:t>
      </w:r>
    </w:p>
    <w:p>
      <w:pPr>
        <w:pStyle w:val="90"/>
        <w:spacing w:before="156" w:after="156"/>
      </w:pPr>
      <w:r>
        <w:rPr>
          <w:rFonts w:hint="eastAsia"/>
        </w:rPr>
        <w:t>试验后称重</w:t>
      </w:r>
    </w:p>
    <w:p>
      <w:pPr>
        <w:pStyle w:val="224"/>
        <w:spacing w:line="360" w:lineRule="exact"/>
      </w:pPr>
      <w:r>
        <w:rPr>
          <w:rFonts w:hint="eastAsia"/>
        </w:rPr>
        <w:t>将随机过滤器卸去精确称量试验后器具的</w:t>
      </w:r>
      <w:r>
        <w:rPr>
          <w:rFonts w:hint="eastAsia" w:cs="黑体"/>
          <w:kern w:val="0"/>
        </w:rPr>
        <w:t>质量</w:t>
      </w:r>
      <w:r>
        <w:rPr>
          <w:rFonts w:cs="黑体"/>
          <w:kern w:val="0"/>
          <w:position w:val="-12"/>
        </w:rPr>
        <w:object>
          <v:shape id="_x0000_i1077" o:spt="75" type="#_x0000_t75" style="height:18pt;width:14.25pt;" o:ole="t" filled="f" o:preferrelative="t" stroked="f" coordsize="21600,21600">
            <v:path/>
            <v:fill on="f" focussize="0,0"/>
            <v:stroke on="f" joinstyle="miter"/>
            <v:imagedata r:id="rId165" o:title=""/>
            <o:lock v:ext="edit" aspectratio="t"/>
            <w10:wrap type="none"/>
            <w10:anchorlock/>
          </v:shape>
          <o:OLEObject Type="Embed" ProgID="Equation.DSMT4" ShapeID="_x0000_i1077" DrawAspect="Content" ObjectID="_1468075777" r:id="rId164">
            <o:LockedField>false</o:LockedField>
          </o:OLEObject>
        </w:object>
      </w:r>
      <w:r>
        <w:rPr>
          <w:rFonts w:hint="eastAsia"/>
        </w:rPr>
        <w:t>。</w:t>
      </w:r>
    </w:p>
    <w:p>
      <w:pPr>
        <w:pStyle w:val="224"/>
        <w:spacing w:line="360" w:lineRule="exact"/>
      </w:pPr>
      <w:r>
        <w:rPr>
          <w:rFonts w:hint="eastAsia"/>
        </w:rPr>
        <w:t>随机过</w:t>
      </w:r>
      <w:r>
        <w:t>滤器</w:t>
      </w:r>
      <w:r>
        <w:rPr>
          <w:rFonts w:hint="eastAsia"/>
        </w:rPr>
        <w:t>和试验装置用</w:t>
      </w:r>
      <w:r>
        <w:t>独立</w:t>
      </w:r>
      <w:r>
        <w:rPr>
          <w:rFonts w:hint="eastAsia"/>
        </w:rPr>
        <w:t>过</w:t>
      </w:r>
      <w:r>
        <w:t>滤器</w:t>
      </w:r>
      <w:r>
        <w:rPr>
          <w:rFonts w:hint="eastAsia"/>
        </w:rPr>
        <w:t>卸下后</w:t>
      </w:r>
      <w:r>
        <w:t>放置</w:t>
      </w:r>
      <w:r>
        <w:rPr>
          <w:rFonts w:hint="eastAsia"/>
        </w:rPr>
        <w:t>在</w:t>
      </w:r>
      <w:r>
        <w:t>50 </w:t>
      </w:r>
      <w:r>
        <w:rPr>
          <w:rFonts w:hint="eastAsia" w:hAnsi="宋体" w:cs="宋体"/>
        </w:rPr>
        <w:t>℃</w:t>
      </w:r>
      <w:r>
        <w:t>的</w:t>
      </w:r>
      <w:r>
        <w:rPr>
          <w:rFonts w:hint="eastAsia"/>
        </w:rPr>
        <w:t>烘箱中干燥1</w:t>
      </w:r>
      <w:r>
        <w:t> </w:t>
      </w:r>
      <w:r>
        <w:rPr>
          <w:rFonts w:hint="eastAsia"/>
        </w:rPr>
        <w:t>h后再分别称重，</w:t>
      </w:r>
      <w:r>
        <w:rPr>
          <w:rFonts w:hint="eastAsia" w:cs="黑体"/>
          <w:kern w:val="0"/>
        </w:rPr>
        <w:t>记下试验后的</w:t>
      </w:r>
      <w:r>
        <w:rPr>
          <w:rFonts w:hint="eastAsia"/>
        </w:rPr>
        <w:t>随机过</w:t>
      </w:r>
      <w:r>
        <w:t>滤器</w:t>
      </w:r>
      <w:r>
        <w:rPr>
          <w:rFonts w:hint="eastAsia"/>
        </w:rPr>
        <w:t>质量</w:t>
      </w:r>
      <w:r>
        <w:rPr>
          <w:position w:val="-12"/>
        </w:rPr>
        <w:object>
          <v:shape id="_x0000_i1078" o:spt="75" type="#_x0000_t75" style="height:18pt;width:14.25pt;" o:ole="t" filled="f" o:preferrelative="t" stroked="f" coordsize="21600,21600">
            <v:path/>
            <v:fill on="f" focussize="0,0"/>
            <v:stroke on="f" joinstyle="miter"/>
            <v:imagedata r:id="rId167" o:title=""/>
            <o:lock v:ext="edit" aspectratio="t"/>
            <w10:wrap type="none"/>
            <w10:anchorlock/>
          </v:shape>
          <o:OLEObject Type="Embed" ProgID="Equation.DSMT4" ShapeID="_x0000_i1078" DrawAspect="Content" ObjectID="_1468075778" r:id="rId166">
            <o:LockedField>false</o:LockedField>
          </o:OLEObject>
        </w:object>
      </w:r>
      <w:r>
        <w:rPr>
          <w:rFonts w:hint="eastAsia" w:cs="黑体"/>
          <w:kern w:val="0"/>
        </w:rPr>
        <w:t>和试验后的</w:t>
      </w:r>
      <w:r>
        <w:rPr>
          <w:rFonts w:hint="eastAsia"/>
        </w:rPr>
        <w:t>试验装置用</w:t>
      </w:r>
      <w:r>
        <w:t>独立</w:t>
      </w:r>
      <w:r>
        <w:rPr>
          <w:rFonts w:hint="eastAsia"/>
        </w:rPr>
        <w:t>过</w:t>
      </w:r>
      <w:r>
        <w:t>滤器</w:t>
      </w:r>
      <w:r>
        <w:rPr>
          <w:rFonts w:hint="eastAsia"/>
        </w:rPr>
        <w:t>的质量</w:t>
      </w:r>
      <w:r>
        <w:rPr>
          <w:position w:val="-12"/>
        </w:rPr>
        <w:object>
          <v:shape id="_x0000_i1079" o:spt="75" type="#_x0000_t75" style="height:18pt;width:14.25pt;" o:ole="t" filled="f" o:preferrelative="t" stroked="f" coordsize="21600,21600">
            <v:path/>
            <v:fill on="f" focussize="0,0"/>
            <v:stroke on="f" joinstyle="miter"/>
            <v:imagedata r:id="rId169" o:title=""/>
            <o:lock v:ext="edit" aspectratio="t"/>
            <w10:wrap type="none"/>
            <w10:anchorlock/>
          </v:shape>
          <o:OLEObject Type="Embed" ProgID="Equation.DSMT4" ShapeID="_x0000_i1079" DrawAspect="Content" ObjectID="_1468075779" r:id="rId168">
            <o:LockedField>false</o:LockedField>
          </o:OLEObject>
        </w:object>
      </w:r>
      <w:r>
        <w:rPr>
          <w:rFonts w:hint="eastAsia" w:cs="黑体"/>
          <w:kern w:val="0"/>
        </w:rPr>
        <w:t>，称量精度±0.1</w:t>
      </w:r>
      <w:r>
        <w:rPr>
          <w:rFonts w:cs="黑体"/>
          <w:kern w:val="0"/>
        </w:rPr>
        <w:t> </w:t>
      </w:r>
      <w:r>
        <w:rPr>
          <w:rFonts w:hint="eastAsia" w:cs="黑体"/>
          <w:kern w:val="0"/>
        </w:rPr>
        <w:t>g。称量时应将</w:t>
      </w:r>
      <w:r>
        <w:rPr>
          <w:rFonts w:hint="eastAsia"/>
        </w:rPr>
        <w:t>两个过</w:t>
      </w:r>
      <w:r>
        <w:t>滤器在</w:t>
      </w:r>
      <w:r>
        <w:rPr>
          <w:rFonts w:hint="eastAsia"/>
        </w:rPr>
        <w:t>烘</w:t>
      </w:r>
      <w:r>
        <w:t>干的过程中滴下来的油也要</w:t>
      </w:r>
      <w:r>
        <w:rPr>
          <w:rFonts w:hint="eastAsia"/>
        </w:rPr>
        <w:t>计入质量之中</w:t>
      </w:r>
      <w:r>
        <w:t>。</w:t>
      </w:r>
    </w:p>
    <w:p>
      <w:pPr>
        <w:pStyle w:val="190"/>
      </w:pPr>
      <w:r>
        <w:rPr>
          <w:rFonts w:hint="eastAsia"/>
        </w:rPr>
        <w:t>试验过程中如果被测器具有接排风管，在试验前后称量器具质量时，应包含排风管的质量。</w:t>
      </w:r>
    </w:p>
    <w:p>
      <w:pPr>
        <w:pStyle w:val="190"/>
      </w:pPr>
      <w:r>
        <w:rPr>
          <w:rFonts w:hint="eastAsia"/>
        </w:rPr>
        <w:t>在试验过程中在称量随机过滤器质量及烘干时，应包含集油装置。</w:t>
      </w:r>
    </w:p>
    <w:p>
      <w:pPr>
        <w:pStyle w:val="89"/>
        <w:spacing w:before="156" w:after="156"/>
      </w:pPr>
      <w:bookmarkStart w:id="245" w:name="_Toc65063264"/>
      <w:r>
        <w:rPr>
          <w:rFonts w:hint="eastAsia"/>
        </w:rPr>
        <w:t>试验计算</w:t>
      </w:r>
      <w:bookmarkEnd w:id="245"/>
    </w:p>
    <w:p>
      <w:pPr>
        <w:pStyle w:val="223"/>
        <w:spacing w:line="320" w:lineRule="exact"/>
      </w:pPr>
      <w:r>
        <w:rPr>
          <w:rFonts w:hint="eastAsia"/>
        </w:rPr>
        <w:t>通过试验可分别计算出被测器具整机的油脂分离度</w:t>
      </w:r>
      <w:r>
        <w:rPr>
          <w:position w:val="-12"/>
        </w:rPr>
        <w:object>
          <v:shape id="_x0000_i1080" o:spt="75" type="#_x0000_t75" style="height:18pt;width:15.75pt;" o:ole="t" filled="f" o:preferrelative="t" stroked="f" coordsize="21600,21600">
            <v:path/>
            <v:fill on="f" focussize="0,0"/>
            <v:stroke on="f" joinstyle="miter"/>
            <v:imagedata r:id="rId171" o:title=""/>
            <o:lock v:ext="edit" aspectratio="t"/>
            <w10:wrap type="none"/>
            <w10:anchorlock/>
          </v:shape>
          <o:OLEObject Type="Embed" ProgID="Equation.DSMT4" ShapeID="_x0000_i1080" DrawAspect="Content" ObjectID="_1468075780" r:id="rId170">
            <o:LockedField>false</o:LockedField>
          </o:OLEObject>
        </w:object>
      </w:r>
      <w:r>
        <w:rPr>
          <w:rFonts w:hint="eastAsia"/>
        </w:rPr>
        <w:t>和随机过滤网油脂分离度</w:t>
      </w:r>
      <w:r>
        <w:rPr>
          <w:position w:val="-12"/>
        </w:rPr>
        <w:object>
          <v:shape id="_x0000_i1081" o:spt="75" type="#_x0000_t75" style="height:18pt;width:17.25pt;" o:ole="t" filled="f" o:preferrelative="t" stroked="f" coordsize="21600,21600">
            <v:path/>
            <v:fill on="f" focussize="0,0"/>
            <v:stroke on="f" joinstyle="miter"/>
            <v:imagedata r:id="rId173" o:title=""/>
            <o:lock v:ext="edit" aspectratio="t"/>
            <w10:wrap type="none"/>
            <w10:anchorlock/>
          </v:shape>
          <o:OLEObject Type="Embed" ProgID="Equation.DSMT4" ShapeID="_x0000_i1081" DrawAspect="Content" ObjectID="_1468075781" r:id="rId172">
            <o:LockedField>false</o:LockedField>
          </o:OLEObject>
        </w:object>
      </w:r>
      <w:r>
        <w:rPr>
          <w:rFonts w:hint="eastAsia"/>
        </w:rPr>
        <w:t>。</w:t>
      </w:r>
    </w:p>
    <w:p>
      <w:pPr>
        <w:pStyle w:val="223"/>
        <w:autoSpaceDE/>
        <w:autoSpaceDN/>
        <w:spacing w:line="320" w:lineRule="exact"/>
        <w:rPr>
          <w:rFonts w:cs="黑体"/>
          <w:kern w:val="0"/>
        </w:rPr>
      </w:pPr>
      <w:r>
        <w:rPr>
          <w:rFonts w:hint="eastAsia" w:cs="黑体"/>
          <w:kern w:val="0"/>
        </w:rPr>
        <w:t>被测器具整机的油脂分离度</w:t>
      </w:r>
      <w:r>
        <w:rPr>
          <w:rFonts w:cs="黑体"/>
          <w:kern w:val="0"/>
          <w:position w:val="-12"/>
        </w:rPr>
        <w:object>
          <v:shape id="_x0000_i1082" o:spt="75" type="#_x0000_t75" style="height:18pt;width:15.75pt;" o:ole="t" filled="f" o:preferrelative="t" stroked="f" coordsize="21600,21600">
            <v:path/>
            <v:fill on="f" focussize="0,0"/>
            <v:stroke on="f" joinstyle="miter"/>
            <v:imagedata r:id="rId171" o:title=""/>
            <o:lock v:ext="edit" aspectratio="t"/>
            <w10:wrap type="none"/>
            <w10:anchorlock/>
          </v:shape>
          <o:OLEObject Type="Embed" ProgID="Equation.DSMT4" ShapeID="_x0000_i1082" DrawAspect="Content" ObjectID="_1468075782" r:id="rId174">
            <o:LockedField>false</o:LockedField>
          </o:OLEObject>
        </w:object>
      </w:r>
      <w:r>
        <w:rPr>
          <w:rFonts w:hint="eastAsia" w:cs="黑体"/>
          <w:kern w:val="0"/>
        </w:rPr>
        <w:t>可按式</w:t>
      </w:r>
      <w:r>
        <w:rPr>
          <w:rFonts w:cs="黑体"/>
          <w:kern w:val="0"/>
        </w:rPr>
        <w:t>F.1</w:t>
      </w:r>
      <w:r>
        <w:rPr>
          <w:rFonts w:hint="eastAsia" w:cs="黑体"/>
          <w:kern w:val="0"/>
        </w:rPr>
        <w:t>计算</w:t>
      </w:r>
      <w:r>
        <w:rPr>
          <w:rFonts w:cs="黑体"/>
          <w:kern w:val="0"/>
        </w:rPr>
        <w:t>：</w:t>
      </w:r>
    </w:p>
    <w:p>
      <w:pPr>
        <w:pStyle w:val="124"/>
      </w:pPr>
      <w:r>
        <w:tab/>
      </w:r>
      <m:oMath>
        <m:r>
          <m:rPr>
            <m:sty m:val="p"/>
          </m:rPr>
          <w:rPr>
            <w:rFonts w:ascii="Cambria Math" w:hAnsi="Cambria Math"/>
          </w:rPr>
          <m:t xml:space="preserve"> </m:t>
        </m:r>
        <m:r>
          <m:rPr>
            <m:sty m:val="p"/>
          </m:rPr>
          <w:rPr>
            <w:rFonts w:ascii="Cambria Math" w:hAnsi="Cambria Math"/>
            <w:position w:val="-30"/>
          </w:rPr>
          <w:object>
            <v:shape id="_x0000_i1083" o:spt="75" type="#_x0000_t75" style="height:33.75pt;width:224.9pt;" o:ole="t" filled="f" o:preferrelative="t" stroked="f" coordsize="21600,21600">
              <v:path/>
              <v:fill on="f" focussize="0,0"/>
              <v:stroke on="f" joinstyle="miter"/>
              <v:imagedata r:id="rId176" o:title=""/>
              <o:lock v:ext="edit" aspectratio="t"/>
              <w10:wrap type="none"/>
              <w10:anchorlock/>
            </v:shape>
            <o:OLEObject Type="Embed" ProgID="Equation.DSMT4" ShapeID="_x0000_i1083" DrawAspect="Content" ObjectID="_1468075783" r:id="rId175">
              <o:LockedField>false</o:LockedField>
            </o:OLEObject>
          </w:object>
        </m:r>
      </m:oMath>
      <w:r>
        <w:rPr>
          <w:rFonts w:ascii="微软雅黑" w:hAnsi="微软雅黑" w:eastAsia="微软雅黑"/>
        </w:rPr>
        <w:tab/>
      </w:r>
      <w:r>
        <w:t>(F.</w:t>
      </w:r>
      <w:r>
        <w:fldChar w:fldCharType="begin"/>
      </w:r>
      <w:r>
        <w:instrText xml:space="preserve"> seq fulu_equation_132584663851016504 </w:instrText>
      </w:r>
      <w:r>
        <w:fldChar w:fldCharType="separate"/>
      </w:r>
      <w:r>
        <w:t>1</w:t>
      </w:r>
      <w:r>
        <w:fldChar w:fldCharType="end"/>
      </w:r>
      <w:r>
        <w:t>)</w:t>
      </w:r>
    </w:p>
    <w:p>
      <w:pPr>
        <w:pStyle w:val="223"/>
        <w:autoSpaceDE/>
        <w:autoSpaceDN/>
        <w:spacing w:line="320" w:lineRule="exact"/>
      </w:pPr>
      <w:r>
        <w:rPr>
          <w:rFonts w:hint="eastAsia"/>
        </w:rPr>
        <w:t>如果需要计算随机过滤网的油脂分离度</w:t>
      </w:r>
      <w:r>
        <w:rPr>
          <w:position w:val="-12"/>
        </w:rPr>
        <w:object>
          <v:shape id="_x0000_i1084" o:spt="75" type="#_x0000_t75" style="height:18pt;width:17.25pt;" o:ole="t" filled="f" o:preferrelative="t" stroked="f" coordsize="21600,21600">
            <v:path/>
            <v:fill on="f" focussize="0,0"/>
            <v:stroke on="f" joinstyle="miter"/>
            <v:imagedata r:id="rId173" o:title=""/>
            <o:lock v:ext="edit" aspectratio="t"/>
            <w10:wrap type="none"/>
            <w10:anchorlock/>
          </v:shape>
          <o:OLEObject Type="Embed" ProgID="Equation.DSMT4" ShapeID="_x0000_i1084" DrawAspect="Content" ObjectID="_1468075784" r:id="rId177">
            <o:LockedField>false</o:LockedField>
          </o:OLEObject>
        </w:object>
      </w:r>
      <w:r>
        <w:rPr>
          <w:rFonts w:hint="eastAsia"/>
        </w:rPr>
        <w:t>可按式</w:t>
      </w:r>
      <w:r>
        <w:t>F.2</w:t>
      </w:r>
      <w:r>
        <w:rPr>
          <w:rFonts w:hint="eastAsia"/>
        </w:rPr>
        <w:t>计算</w:t>
      </w:r>
      <w:r>
        <w:t>：</w:t>
      </w:r>
    </w:p>
    <w:p>
      <w:pPr>
        <w:pStyle w:val="124"/>
      </w:pPr>
      <w:r>
        <w:tab/>
      </w:r>
      <m:oMath>
        <m:r>
          <m:rPr>
            <m:sty m:val="p"/>
          </m:rPr>
          <w:rPr>
            <w:rFonts w:ascii="Cambria Math" w:hAnsi="Cambria Math"/>
          </w:rPr>
          <m:t xml:space="preserve"> </m:t>
        </m:r>
        <m:r>
          <m:rPr>
            <m:sty m:val="p"/>
          </m:rPr>
          <w:rPr>
            <w:rFonts w:ascii="Cambria Math" w:hAnsi="Cambria Math"/>
            <w:position w:val="-30"/>
          </w:rPr>
          <w:object>
            <v:shape id="_x0000_i1085" o:spt="75" type="#_x0000_t75" style="height:33.75pt;width:225.65pt;" o:ole="t" filled="f" o:preferrelative="t" stroked="f" coordsize="21600,21600">
              <v:path/>
              <v:fill on="f" focussize="0,0"/>
              <v:stroke on="f" joinstyle="miter"/>
              <v:imagedata r:id="rId179" o:title=""/>
              <o:lock v:ext="edit" aspectratio="t"/>
              <w10:wrap type="none"/>
              <w10:anchorlock/>
            </v:shape>
            <o:OLEObject Type="Embed" ProgID="Equation.DSMT4" ShapeID="_x0000_i1085" DrawAspect="Content" ObjectID="_1468075785" r:id="rId178">
              <o:LockedField>false</o:LockedField>
            </o:OLEObject>
          </w:object>
        </m:r>
      </m:oMath>
      <w:r>
        <w:rPr>
          <w:rFonts w:ascii="微软雅黑" w:hAnsi="微软雅黑" w:eastAsia="微软雅黑"/>
        </w:rPr>
        <w:tab/>
      </w:r>
      <w:r>
        <w:t>(F.</w:t>
      </w:r>
      <w:r>
        <w:fldChar w:fldCharType="begin"/>
      </w:r>
      <w:r>
        <w:instrText xml:space="preserve">  seq fulu_equation_132584663851016504  </w:instrText>
      </w:r>
      <w:r>
        <w:fldChar w:fldCharType="separate"/>
      </w:r>
      <w:r>
        <w:t>2</w:t>
      </w:r>
      <w:r>
        <w:fldChar w:fldCharType="end"/>
      </w:r>
      <w:r>
        <w:t>)</w:t>
      </w:r>
    </w:p>
    <w:p>
      <w:pPr>
        <w:pStyle w:val="66"/>
        <w:ind w:firstLine="420"/>
      </w:pPr>
      <w:r>
        <w:rPr>
          <w:rFonts w:hint="eastAsia"/>
        </w:rPr>
        <w:t>式中：</w:t>
      </w:r>
    </w:p>
    <w:p>
      <w:pPr>
        <w:pStyle w:val="67"/>
        <w:spacing w:line="320" w:lineRule="exact"/>
        <w:ind w:firstLine="420"/>
      </w:pPr>
      <w:r>
        <w:rPr>
          <w:rFonts w:hAnsi="宋体"/>
          <w:color w:val="000000"/>
          <w:position w:val="-12"/>
        </w:rPr>
        <w:object>
          <v:shape id="_x0000_i1086" o:spt="75" type="#_x0000_t75" style="height:18pt;width:12pt;" o:ole="t" filled="f" o:preferrelative="t" stroked="f" coordsize="21600,21600">
            <v:path/>
            <v:fill on="f" focussize="0,0"/>
            <v:stroke on="f" joinstyle="miter"/>
            <v:imagedata r:id="rId159" o:title=""/>
            <o:lock v:ext="edit" aspectratio="t"/>
            <w10:wrap type="none"/>
            <w10:anchorlock/>
          </v:shape>
          <o:OLEObject Type="Embed" ProgID="Equation.DSMT4" ShapeID="_x0000_i1086" DrawAspect="Content" ObjectID="_1468075786" r:id="rId180">
            <o:LockedField>false</o:LockedField>
          </o:OLEObject>
        </w:object>
      </w:r>
      <w:r>
        <w:rPr>
          <w:rFonts w:ascii="Times New Roman"/>
        </w:rPr>
        <w:t>——</w:t>
      </w:r>
      <w:r>
        <w:rPr>
          <w:rFonts w:hint="eastAsia"/>
        </w:rPr>
        <w:t>试验前被测器具不带随机滤网的质量</w:t>
      </w:r>
      <w:r>
        <w:t>，</w:t>
      </w:r>
      <w:r>
        <w:rPr>
          <w:rFonts w:hint="eastAsia"/>
        </w:rPr>
        <w:t>单位为克（</w:t>
      </w:r>
      <w:r>
        <w:t>g</w:t>
      </w:r>
      <w:r>
        <w:rPr>
          <w:rFonts w:hint="eastAsia"/>
        </w:rPr>
        <w:t>）</w:t>
      </w:r>
      <w:r>
        <w:t>；</w:t>
      </w:r>
    </w:p>
    <w:p>
      <w:pPr>
        <w:pStyle w:val="67"/>
        <w:spacing w:line="320" w:lineRule="exact"/>
        <w:ind w:firstLine="420"/>
      </w:pPr>
      <w:r>
        <w:rPr>
          <w:rFonts w:cs="黑体"/>
          <w:position w:val="-12"/>
        </w:rPr>
        <w:object>
          <v:shape id="_x0000_i1087" o:spt="75" type="#_x0000_t75" style="height:18pt;width:14.25pt;" o:ole="t" filled="f" o:preferrelative="t" stroked="f" coordsize="21600,21600">
            <v:path/>
            <v:fill on="f" focussize="0,0"/>
            <v:stroke on="f" joinstyle="miter"/>
            <v:imagedata r:id="rId165" o:title=""/>
            <o:lock v:ext="edit" aspectratio="t"/>
            <w10:wrap type="none"/>
            <w10:anchorlock/>
          </v:shape>
          <o:OLEObject Type="Embed" ProgID="Equation.DSMT4" ShapeID="_x0000_i1087" DrawAspect="Content" ObjectID="_1468075787" r:id="rId181">
            <o:LockedField>false</o:LockedField>
          </o:OLEObject>
        </w:object>
      </w:r>
      <w:r>
        <w:rPr>
          <w:rFonts w:ascii="Times New Roman"/>
        </w:rPr>
        <w:t>——</w:t>
      </w:r>
      <w:r>
        <w:rPr>
          <w:rFonts w:hint="eastAsia"/>
        </w:rPr>
        <w:t>试验后被测器具不带随机滤网的质量，单位为克（</w:t>
      </w:r>
      <w:r>
        <w:t>g</w:t>
      </w:r>
      <w:r>
        <w:rPr>
          <w:rFonts w:hint="eastAsia"/>
        </w:rPr>
        <w:t>）</w:t>
      </w:r>
      <w:r>
        <w:t>；</w:t>
      </w:r>
    </w:p>
    <w:p>
      <w:pPr>
        <w:pStyle w:val="67"/>
        <w:spacing w:line="320" w:lineRule="exact"/>
        <w:ind w:firstLine="420"/>
      </w:pPr>
      <w:r>
        <w:rPr>
          <w:rFonts w:hAnsi="宋体"/>
          <w:color w:val="000000"/>
          <w:position w:val="-12"/>
        </w:rPr>
        <w:object>
          <v:shape id="_x0000_i1088" o:spt="75" type="#_x0000_t75" style="height:18pt;width:11.25pt;" o:ole="t" filled="f" o:preferrelative="t" stroked="f" coordsize="21600,21600">
            <v:path/>
            <v:fill on="f" focussize="0,0"/>
            <v:stroke on="f" joinstyle="miter"/>
            <v:imagedata r:id="rId161" o:title=""/>
            <o:lock v:ext="edit" aspectratio="t"/>
            <w10:wrap type="none"/>
            <w10:anchorlock/>
          </v:shape>
          <o:OLEObject Type="Embed" ProgID="Equation.DSMT4" ShapeID="_x0000_i1088" DrawAspect="Content" ObjectID="_1468075788" r:id="rId182">
            <o:LockedField>false</o:LockedField>
          </o:OLEObject>
        </w:object>
      </w:r>
      <w:r>
        <w:rPr>
          <w:rFonts w:ascii="Times New Roman"/>
        </w:rPr>
        <w:t>——</w:t>
      </w:r>
      <w:r>
        <w:rPr>
          <w:rFonts w:hint="eastAsia"/>
        </w:rPr>
        <w:t>试验前被测器具随机滤网的质量，单位为克（</w:t>
      </w:r>
      <w:r>
        <w:t>g</w:t>
      </w:r>
      <w:r>
        <w:rPr>
          <w:rFonts w:hint="eastAsia"/>
        </w:rPr>
        <w:t>）</w:t>
      </w:r>
      <w:r>
        <w:t>；</w:t>
      </w:r>
    </w:p>
    <w:p>
      <w:pPr>
        <w:pStyle w:val="67"/>
        <w:spacing w:line="320" w:lineRule="exact"/>
        <w:ind w:firstLine="420"/>
      </w:pPr>
      <w:r>
        <w:rPr>
          <w:position w:val="-12"/>
        </w:rPr>
        <w:object>
          <v:shape id="_x0000_i1089" o:spt="75" type="#_x0000_t75" style="height:18pt;width:14.25pt;" o:ole="t" filled="f" o:preferrelative="t" stroked="f" coordsize="21600,21600">
            <v:path/>
            <v:fill on="f" focussize="0,0"/>
            <v:stroke on="f" joinstyle="miter"/>
            <v:imagedata r:id="rId167" o:title=""/>
            <o:lock v:ext="edit" aspectratio="t"/>
            <w10:wrap type="none"/>
            <w10:anchorlock/>
          </v:shape>
          <o:OLEObject Type="Embed" ProgID="Equation.DSMT4" ShapeID="_x0000_i1089" DrawAspect="Content" ObjectID="_1468075789" r:id="rId183">
            <o:LockedField>false</o:LockedField>
          </o:OLEObject>
        </w:object>
      </w:r>
      <w:r>
        <w:rPr>
          <w:rFonts w:ascii="Times New Roman"/>
        </w:rPr>
        <w:t>——</w:t>
      </w:r>
      <w:r>
        <w:rPr>
          <w:rFonts w:hint="eastAsia"/>
        </w:rPr>
        <w:t>试验后被测器具随机滤网的质量</w:t>
      </w:r>
      <w:r>
        <w:t>，</w:t>
      </w:r>
      <w:r>
        <w:rPr>
          <w:rFonts w:hint="eastAsia"/>
        </w:rPr>
        <w:t>单位为克（</w:t>
      </w:r>
      <w:r>
        <w:t>g</w:t>
      </w:r>
      <w:r>
        <w:rPr>
          <w:rFonts w:hint="eastAsia"/>
        </w:rPr>
        <w:t>）</w:t>
      </w:r>
      <w:r>
        <w:t>；</w:t>
      </w:r>
    </w:p>
    <w:p>
      <w:pPr>
        <w:pStyle w:val="67"/>
        <w:spacing w:line="320" w:lineRule="exact"/>
        <w:ind w:firstLine="420"/>
      </w:pPr>
      <w:r>
        <w:rPr>
          <w:rFonts w:hAnsi="宋体"/>
          <w:color w:val="000000"/>
          <w:position w:val="-12"/>
        </w:rPr>
        <w:object>
          <v:shape id="_x0000_i1090" o:spt="75" type="#_x0000_t75" style="height:18pt;width:11.25pt;" o:ole="t" filled="f" o:preferrelative="t" stroked="f" coordsize="21600,21600">
            <v:path/>
            <v:fill on="f" focussize="0,0"/>
            <v:stroke on="f" joinstyle="miter"/>
            <v:imagedata r:id="rId163" o:title=""/>
            <o:lock v:ext="edit" aspectratio="t"/>
            <w10:wrap type="none"/>
            <w10:anchorlock/>
          </v:shape>
          <o:OLEObject Type="Embed" ProgID="Equation.DSMT4" ShapeID="_x0000_i1090" DrawAspect="Content" ObjectID="_1468075790" r:id="rId184">
            <o:LockedField>false</o:LockedField>
          </o:OLEObject>
        </w:object>
      </w:r>
      <w:r>
        <w:rPr>
          <w:rFonts w:ascii="Times New Roman"/>
        </w:rPr>
        <w:t>——</w:t>
      </w:r>
      <w:r>
        <w:rPr>
          <w:rFonts w:hint="eastAsia"/>
        </w:rPr>
        <w:t>试验前试验装置用独立过滤器的质量，单位为克（</w:t>
      </w:r>
      <w:r>
        <w:t>g</w:t>
      </w:r>
      <w:r>
        <w:rPr>
          <w:rFonts w:hint="eastAsia"/>
        </w:rPr>
        <w:t>）</w:t>
      </w:r>
      <w:r>
        <w:t>；</w:t>
      </w:r>
    </w:p>
    <w:p>
      <w:pPr>
        <w:pStyle w:val="67"/>
        <w:spacing w:line="320" w:lineRule="exact"/>
        <w:ind w:firstLine="420"/>
      </w:pPr>
      <w:r>
        <w:rPr>
          <w:position w:val="-12"/>
        </w:rPr>
        <w:object>
          <v:shape id="_x0000_i1091" o:spt="75" type="#_x0000_t75" style="height:18pt;width:14.25pt;" o:ole="t" filled="f" o:preferrelative="t" stroked="f" coordsize="21600,21600">
            <v:path/>
            <v:fill on="f" focussize="0,0"/>
            <v:stroke on="f" joinstyle="miter"/>
            <v:imagedata r:id="rId169" o:title=""/>
            <o:lock v:ext="edit" aspectratio="t"/>
            <w10:wrap type="none"/>
            <w10:anchorlock/>
          </v:shape>
          <o:OLEObject Type="Embed" ProgID="Equation.DSMT4" ShapeID="_x0000_i1091" DrawAspect="Content" ObjectID="_1468075791" r:id="rId185">
            <o:LockedField>false</o:LockedField>
          </o:OLEObject>
        </w:object>
      </w:r>
      <w:r>
        <w:rPr>
          <w:rFonts w:ascii="Times New Roman"/>
        </w:rPr>
        <w:t>——</w:t>
      </w:r>
      <w:r>
        <w:rPr>
          <w:rFonts w:hint="eastAsia"/>
        </w:rPr>
        <w:t>试验后试验装置用独立过滤器的质量，单位为克（</w:t>
      </w:r>
      <w:r>
        <w:t>g</w:t>
      </w:r>
      <w:r>
        <w:rPr>
          <w:rFonts w:hint="eastAsia"/>
        </w:rPr>
        <w:t>）。</w:t>
      </w:r>
    </w:p>
    <w:p>
      <w:pPr>
        <w:pStyle w:val="67"/>
        <w:spacing w:line="320" w:lineRule="exact"/>
        <w:ind w:firstLine="420"/>
      </w:pPr>
      <w:r>
        <w:rPr>
          <w:rFonts w:hint="eastAsia"/>
        </w:rPr>
        <w:t>对外排式器具只考核整机的油脂分离度，对于循环式器具要求考核整机的油脂分离度及随机过滤网的油脂分离度。</w:t>
      </w:r>
    </w:p>
    <w:p>
      <w:pPr>
        <w:pStyle w:val="209"/>
        <w:rPr>
          <w:vanish w:val="0"/>
        </w:rPr>
      </w:pPr>
    </w:p>
    <w:p>
      <w:pPr>
        <w:pStyle w:val="210"/>
        <w:rPr>
          <w:vanish w:val="0"/>
        </w:rPr>
      </w:pPr>
    </w:p>
    <w:bookmarkEnd w:id="164"/>
    <w:p>
      <w:pPr>
        <w:pStyle w:val="67"/>
        <w:ind w:firstLine="0" w:firstLineChars="0"/>
        <w:jc w:val="center"/>
      </w:pPr>
      <w:bookmarkStart w:id="246" w:name="BookMark8"/>
      <w:r>
        <w:drawing>
          <wp:inline distT="0" distB="0" distL="0" distR="0">
            <wp:extent cx="1485900" cy="317500"/>
            <wp:effectExtent l="0" t="0" r="0" b="635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86">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246"/>
    </w:p>
    <w:sectPr>
      <w:headerReference r:id="rId39" w:type="default"/>
      <w:footerReference r:id="rId41" w:type="default"/>
      <w:headerReference r:id="rId40" w:type="even"/>
      <w:footerReference r:id="rId42" w:type="even"/>
      <w:pgSz w:w="11906" w:h="16838"/>
      <w:pgMar w:top="1871" w:right="1134" w:bottom="1134" w:left="1134" w:header="1418" w:footer="1134" w:gutter="284"/>
      <w:cols w:space="425"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等线 Light">
    <w:altName w:val="宋体"/>
    <w:panose1 w:val="00000000000000000000"/>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16" w:usb3="00000000" w:csb0="0004000F" w:csb1="00000000"/>
  </w:font>
  <w:font w:name="Arial Unicode MS">
    <w:altName w:val="宋体"/>
    <w:panose1 w:val="020B0604020202020204"/>
    <w:charset w:val="86"/>
    <w:family w:val="swiss"/>
    <w:pitch w:val="default"/>
    <w:sig w:usb0="00000000" w:usb1="00000000" w:usb2="0000003F" w:usb3="00000000" w:csb0="003F01FF" w:csb1="00000000"/>
  </w:font>
  <w:font w:name="Cambria Math">
    <w:panose1 w:val="02040503050406030204"/>
    <w:charset w:val="00"/>
    <w:family w:val="roman"/>
    <w:pitch w:val="default"/>
    <w:sig w:usb0="A00002EF" w:usb1="420020EB" w:usb2="00000000" w:usb3="00000000" w:csb0="2000009F" w:csb1="00000000"/>
  </w:font>
  <w:font w:name="微软雅黑">
    <w:panose1 w:val="020B0503020204020204"/>
    <w:charset w:val="86"/>
    <w:family w:val="swiss"/>
    <w:pitch w:val="default"/>
    <w:sig w:usb0="80000287" w:usb1="2A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Courier New"/>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00007A87" w:usb1="80000000" w:usb2="00000008"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fldChar w:fldCharType="begin"/>
    </w:r>
    <w:r>
      <w:instrText xml:space="preserve">PAGE   \* MERGEFORMAT</w:instrText>
    </w:r>
    <w:r>
      <w:fldChar w:fldCharType="separate"/>
    </w:r>
    <w:r>
      <w:rPr>
        <w:lang w:val="zh-CN"/>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PAGE   \* MERGEFORMAT \* MERGEFORMAT </w:instrText>
    </w:r>
    <w:r>
      <w:fldChar w:fldCharType="separate"/>
    </w:r>
    <w:r>
      <w:t>10</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PAGE   \* MERGEFORMAT</w:instrText>
    </w:r>
    <w:r>
      <w:fldChar w:fldCharType="separate"/>
    </w:r>
    <w:r>
      <w:rPr>
        <w:lang w:val="zh-CN"/>
      </w:rPr>
      <w:t>15</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PAGE   \* MERGEFORMAT \* MERGEFORMAT </w:instrText>
    </w:r>
    <w:r>
      <w:fldChar w:fldCharType="separate"/>
    </w:r>
    <w:r>
      <w:t>16</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PAGE   \* MERGEFORMAT</w:instrText>
    </w:r>
    <w:r>
      <w:fldChar w:fldCharType="separate"/>
    </w:r>
    <w:r>
      <w:rPr>
        <w:lang w:val="zh-CN"/>
      </w:rPr>
      <w:t>23</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PAGE   \* MERGEFORMAT \* MERGEFORMAT </w:instrText>
    </w:r>
    <w:r>
      <w:fldChar w:fldCharType="separate"/>
    </w:r>
    <w:r>
      <w:t>24</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PAGE   \* MERGEFORMAT</w:instrText>
    </w:r>
    <w:r>
      <w:fldChar w:fldCharType="separate"/>
    </w:r>
    <w:r>
      <w:rPr>
        <w:lang w:val="zh-CN"/>
      </w:rPr>
      <w:t>25</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PAGE   \* MERGEFORMAT \* MERGEFORMAT </w:instrText>
    </w:r>
    <w:r>
      <w:fldChar w:fldCharType="separate"/>
    </w:r>
    <w:r>
      <w:t>26</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PAGE   \* MERGEFORMAT</w:instrText>
    </w:r>
    <w:r>
      <w:fldChar w:fldCharType="separate"/>
    </w:r>
    <w:r>
      <w:rPr>
        <w:lang w:val="zh-CN"/>
      </w:rPr>
      <w:t>31</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PAGE   \* MERGEFORMAT \* MERGEFORMAT </w:instrText>
    </w:r>
    <w:r>
      <w:fldChar w:fldCharType="separate"/>
    </w:r>
    <w:r>
      <w:t>30</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PAGE   \* MERGEFORMAT</w:instrText>
    </w:r>
    <w:r>
      <w:fldChar w:fldCharType="separate"/>
    </w:r>
    <w:r>
      <w:rPr>
        <w:lang w:val="zh-CN"/>
      </w:rPr>
      <w:t>35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720"/>
      <w:jc w:val="both"/>
      <w:rPr>
        <w:sz w:val="2"/>
        <w:szCs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PAGE   \* MERGEFORMAT \* MERGEFORMAT </w:instrText>
    </w:r>
    <w:r>
      <w:fldChar w:fldCharType="separate"/>
    </w:r>
    <w:r>
      <w:t>36</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PAGE   \* MERGEFORMAT</w:instrText>
    </w:r>
    <w:r>
      <w:fldChar w:fldCharType="separate"/>
    </w:r>
    <w:r>
      <w:rPr>
        <w:lang w:val="zh-CN"/>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PAGE   \* MERGEFORMAT \* MERGEFORMAT </w:instrText>
    </w:r>
    <w:r>
      <w:fldChar w:fldCharType="separate"/>
    </w:r>
    <w:r>
      <w:t>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PAGE   \* MERGEFORMAT</w:instrText>
    </w:r>
    <w:r>
      <w:fldChar w:fldCharType="separate"/>
    </w:r>
    <w:r>
      <w:rPr>
        <w:lang w:val="zh-CN"/>
      </w:rPr>
      <w:t>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PAGE   \* MERGEFORMAT \* MERGEFORMAT </w:instrText>
    </w:r>
    <w:r>
      <w:fldChar w:fldCharType="separate"/>
    </w:r>
    <w:r>
      <w:t>II</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PAGE   \* MERGEFORMAT</w:instrText>
    </w:r>
    <w:r>
      <w:fldChar w:fldCharType="separate"/>
    </w:r>
    <w:r>
      <w:rPr>
        <w:lang w:val="zh-CN"/>
      </w:rPr>
      <w:t>III</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PAGE   \* MERGEFORMAT \* MERGEFORMAT </w:instrText>
    </w:r>
    <w:r>
      <w:fldChar w:fldCharType="separate"/>
    </w:r>
    <w:r>
      <w:t>III</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PAGE   \* MERGEFORMAT</w:instrText>
    </w:r>
    <w:r>
      <w:fldChar w:fldCharType="separate"/>
    </w:r>
    <w:r>
      <w:rPr>
        <w:lang w:val="zh-CN"/>
      </w:rPr>
      <w:t>5</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2"/>
      <w:jc w:val="left"/>
    </w:pPr>
    <w:r>
      <w:rPr>
        <w:rFonts w:hint="eastAsia"/>
        <w:lang w:val="en-US" w:eastAsia="zh-CN"/>
      </w:rPr>
      <w:t>GB/T17713-20XX</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2"/>
    </w:pPr>
    <w:r>
      <w:rPr>
        <w:rFonts w:hint="eastAsia"/>
        <w:lang w:val="en-US" w:eastAsia="zh-CN"/>
      </w:rPr>
      <w:t>GB/T17713-20XX</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2"/>
      <w:jc w:val="left"/>
    </w:pPr>
    <w:r>
      <w:rPr>
        <w:rFonts w:hint="eastAsia"/>
        <w:lang w:val="en-US" w:eastAsia="zh-CN"/>
      </w:rPr>
      <w:t>GB/T17713-20XX</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2"/>
    </w:pPr>
    <w:r>
      <w:fldChar w:fldCharType="begin"/>
    </w:r>
    <w:r>
      <w:instrText xml:space="preserve"> STYLEREF  标准文件_文件编号  \* MERGEFORMAT </w:instrText>
    </w:r>
    <w:r>
      <w:fldChar w:fldCharType="separate"/>
    </w:r>
    <w:r>
      <w:t>GB/T 17713—XXXX</w:t>
    </w:r>
    <w: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3"/>
    </w:pPr>
    <w:r>
      <w:fldChar w:fldCharType="begin"/>
    </w:r>
    <w:r>
      <w:instrText xml:space="preserve"> STYLEREF  标准文件_文件编号 \* MERGEFORMAT </w:instrText>
    </w:r>
    <w:r>
      <w:fldChar w:fldCharType="separate"/>
    </w:r>
    <w:r>
      <w:t>GB/T 17713—XXXX</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2"/>
    </w:pPr>
    <w:r>
      <w:fldChar w:fldCharType="begin"/>
    </w:r>
    <w:r>
      <w:instrText xml:space="preserve"> STYLEREF  标准文件_文件编号  \* MERGEFORMAT </w:instrText>
    </w:r>
    <w:r>
      <w:fldChar w:fldCharType="separate"/>
    </w:r>
    <w:r>
      <w:t>GB/T 17713—XXXX</w:t>
    </w:r>
    <w: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3"/>
    </w:pPr>
    <w:r>
      <w:fldChar w:fldCharType="begin"/>
    </w:r>
    <w:r>
      <w:instrText xml:space="preserve"> STYLEREF  标准文件_文件编号 \* MERGEFORMAT </w:instrText>
    </w:r>
    <w:r>
      <w:fldChar w:fldCharType="separate"/>
    </w:r>
    <w:r>
      <w:t>GB/T 17713—XXXX</w:t>
    </w:r>
    <w: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2"/>
    </w:pPr>
    <w:r>
      <w:fldChar w:fldCharType="begin"/>
    </w:r>
    <w:r>
      <w:instrText xml:space="preserve"> STYLEREF  标准文件_文件编号  \* MERGEFORMAT </w:instrText>
    </w:r>
    <w:r>
      <w:fldChar w:fldCharType="separate"/>
    </w:r>
    <w:r>
      <w:t>GB/T 17713—XXXX</w:t>
    </w:r>
    <w: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3"/>
    </w:pPr>
    <w:r>
      <w:fldChar w:fldCharType="begin"/>
    </w:r>
    <w:r>
      <w:instrText xml:space="preserve"> STYLEREF  标准文件_文件编号 \* MERGEFORMAT </w:instrText>
    </w:r>
    <w:r>
      <w:fldChar w:fldCharType="separate"/>
    </w:r>
    <w:r>
      <w:t>GB/T 17713—XXXX</w:t>
    </w:r>
    <w: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2"/>
    </w:pPr>
    <w:r>
      <w:fldChar w:fldCharType="begin"/>
    </w:r>
    <w:r>
      <w:instrText xml:space="preserve"> STYLEREF  标准文件_文件编号  \* MERGEFORMAT </w:instrText>
    </w:r>
    <w:r>
      <w:fldChar w:fldCharType="separate"/>
    </w:r>
    <w:r>
      <w:t>GB/T 17713—XXXX</w:t>
    </w:r>
    <w:r>
      <w:fldChar w:fldCharType="end"/>
    </w:r>
    <w:bookmarkStart w:id="247" w:name="BookMark1"/>
    <w:bookmarkEnd w:id="247"/>
    <w:bookmarkStart w:id="248" w:name="_Toc61421813"/>
    <w:bookmarkEnd w:id="248"/>
    <w:bookmarkStart w:id="249" w:name="_Toc65063195"/>
    <w:bookmarkEnd w:id="249"/>
    <w:bookmarkStart w:id="250" w:name="_Toc65063267"/>
    <w:bookmarkEnd w:id="250"/>
    <w:bookmarkStart w:id="251" w:name="_Toc66814514"/>
    <w:bookmarkEnd w:id="251"/>
    <w:bookmarkStart w:id="252" w:name="_Toc66815968"/>
    <w:bookmarkEnd w:id="252"/>
    <w:bookmarkStart w:id="253" w:name="_Toc66866022"/>
    <w:bookmarkEnd w:id="253"/>
    <w:bookmarkStart w:id="254" w:name="_Toc67317827"/>
    <w:bookmarkEnd w:id="254"/>
    <w:bookmarkStart w:id="255" w:name="_Toc67317883"/>
    <w:bookmarkEnd w:id="255"/>
    <w:bookmarkStart w:id="256" w:name="_Toc67318101"/>
    <w:bookmarkEnd w:id="256"/>
    <w:bookmarkStart w:id="257" w:name="_Toc67426321"/>
    <w:bookmarkEnd w:id="257"/>
    <w:bookmarkStart w:id="258" w:name="_Toc67429505"/>
    <w:bookmarkEnd w:id="258"/>
    <w:bookmarkStart w:id="259" w:name="_Toc67429541"/>
    <w:bookmarkEnd w:id="259"/>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both"/>
      <w:rPr>
        <w:sz w:val="2"/>
        <w:szCs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3"/>
    </w:pPr>
    <w:r>
      <w:fldChar w:fldCharType="begin"/>
    </w:r>
    <w:r>
      <w:instrText xml:space="preserve"> STYLEREF  标准文件_文件编号 \* MERGEFORMAT </w:instrText>
    </w:r>
    <w:r>
      <w:fldChar w:fldCharType="separate"/>
    </w:r>
    <w:r>
      <w:t>GB/T 17713—XXXX</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2"/>
      <w:rPr>
        <w:rFonts w:hint="default" w:eastAsia="黑体"/>
        <w:lang w:val="en-US" w:eastAsia="zh-CN"/>
      </w:rPr>
    </w:pPr>
    <w:r>
      <w:rPr>
        <w:rFonts w:hint="eastAsia"/>
        <w:lang w:val="en-US" w:eastAsia="zh-CN"/>
      </w:rPr>
      <w:t>GB/T17713-20XX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3"/>
    </w:pPr>
    <w:r>
      <w:fldChar w:fldCharType="begin"/>
    </w:r>
    <w:r>
      <w:instrText xml:space="preserve"> STYLEREF  标准文件_文件编号 \* MERGEFORMAT </w:instrText>
    </w:r>
    <w:r>
      <w:fldChar w:fldCharType="separate"/>
    </w:r>
    <w:r>
      <w:t>GB/T 17713—XXXX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2"/>
    </w:pPr>
    <w:r>
      <w:fldChar w:fldCharType="begin"/>
    </w:r>
    <w:r>
      <w:instrText xml:space="preserve"> STYLEREF  标准文件_文件编号  \* MERGEFORMAT </w:instrText>
    </w:r>
    <w:r>
      <w:fldChar w:fldCharType="separate"/>
    </w:r>
    <w:r>
      <w:t>GB/T 17713—XXXX</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2"/>
      <w:jc w:val="left"/>
    </w:pPr>
    <w:r>
      <w:rPr>
        <w:rFonts w:hint="eastAsia"/>
        <w:lang w:val="en-US" w:eastAsia="zh-CN"/>
      </w:rPr>
      <w:t>GB/T17713-20XX</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2"/>
    </w:pPr>
    <w:r>
      <w:fldChar w:fldCharType="begin"/>
    </w:r>
    <w:r>
      <w:instrText xml:space="preserve"> STYLEREF  标准文件_文件编号  \* MERGEFORMAT </w:instrText>
    </w:r>
    <w:r>
      <w:fldChar w:fldCharType="separate"/>
    </w:r>
    <w:r>
      <w:t>GB/T 17713—XXXX</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3"/>
    </w:pPr>
    <w:r>
      <w:fldChar w:fldCharType="begin"/>
    </w:r>
    <w:r>
      <w:instrText xml:space="preserve"> STYLEREF  标准文件_文件编号 \* MERGEFORMAT </w:instrText>
    </w:r>
    <w:r>
      <w:fldChar w:fldCharType="separate"/>
    </w:r>
    <w:r>
      <w:t>GB/T 17713—XXXX</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2"/>
    </w:pPr>
    <w:r>
      <w:rPr>
        <w:rFonts w:hint="eastAsia"/>
        <w:lang w:val="en-US" w:eastAsia="zh-CN"/>
      </w:rPr>
      <w:t>GB/T17713-20XX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933"/>
    <w:multiLevelType w:val="multilevel"/>
    <w:tmpl w:val="02837933"/>
    <w:lvl w:ilvl="0" w:tentative="0">
      <w:start w:val="1"/>
      <w:numFmt w:val="decimal"/>
      <w:pStyle w:val="75"/>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70"/>
      <w:suff w:val="nothing"/>
      <w:lvlText w:val="%1%2.%3　"/>
      <w:lvlJc w:val="left"/>
      <w:pPr>
        <w:ind w:left="0" w:firstLine="0"/>
      </w:pPr>
    </w:lvl>
    <w:lvl w:ilvl="3" w:tentative="0">
      <w:start w:val="1"/>
      <w:numFmt w:val="decimal"/>
      <w:pStyle w:val="129"/>
      <w:suff w:val="nothing"/>
      <w:lvlText w:val="%1%2.%3.%4　"/>
      <w:lvlJc w:val="left"/>
      <w:pPr>
        <w:ind w:left="0" w:firstLine="0"/>
      </w:pPr>
    </w:lvl>
    <w:lvl w:ilvl="4" w:tentative="0">
      <w:start w:val="1"/>
      <w:numFmt w:val="decimal"/>
      <w:pStyle w:val="164"/>
      <w:suff w:val="nothing"/>
      <w:lvlText w:val="%1%2.%3.%4.%5　"/>
      <w:lvlJc w:val="left"/>
      <w:pPr>
        <w:ind w:left="0" w:firstLine="0"/>
      </w:pPr>
    </w:lvl>
    <w:lvl w:ilvl="5" w:tentative="0">
      <w:start w:val="1"/>
      <w:numFmt w:val="decimal"/>
      <w:pStyle w:val="166"/>
      <w:suff w:val="nothing"/>
      <w:lvlText w:val="%1%2.%3.%4.%5.%6　"/>
      <w:lvlJc w:val="left"/>
      <w:pPr>
        <w:ind w:left="0" w:firstLine="0"/>
      </w:pPr>
    </w:lvl>
    <w:lvl w:ilvl="6" w:tentative="0">
      <w:start w:val="1"/>
      <w:numFmt w:val="decimal"/>
      <w:pStyle w:val="169"/>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1C6D85"/>
    <w:multiLevelType w:val="multilevel"/>
    <w:tmpl w:val="071C6D85"/>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79102AD"/>
    <w:multiLevelType w:val="multilevel"/>
    <w:tmpl w:val="079102AD"/>
    <w:lvl w:ilvl="0" w:tentative="0">
      <w:start w:val="1"/>
      <w:numFmt w:val="decimal"/>
      <w:pStyle w:val="191"/>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4">
    <w:nsid w:val="07ED3FEA"/>
    <w:multiLevelType w:val="multilevel"/>
    <w:tmpl w:val="07ED3FEA"/>
    <w:lvl w:ilvl="0" w:tentative="0">
      <w:start w:val="1"/>
      <w:numFmt w:val="none"/>
      <w:pStyle w:val="100"/>
      <w:lvlText w:val="%1"/>
      <w:lvlJc w:val="left"/>
      <w:pPr>
        <w:ind w:left="425" w:hanging="425"/>
      </w:pPr>
      <w:rPr>
        <w:rFonts w:hint="eastAsia"/>
      </w:rPr>
    </w:lvl>
    <w:lvl w:ilvl="1" w:tentative="0">
      <w:start w:val="1"/>
      <w:numFmt w:val="decimal"/>
      <w:pStyle w:val="211"/>
      <w:suff w:val="nothing"/>
      <w:lvlText w:val="%10.%2 "/>
      <w:lvlJc w:val="left"/>
      <w:pPr>
        <w:ind w:left="0" w:firstLine="0"/>
      </w:pPr>
      <w:rPr>
        <w:rFonts w:hint="eastAsia" w:ascii="黑体" w:eastAsia="黑体" w:hAnsiTheme="minorHAnsi"/>
        <w:b w:val="0"/>
        <w:i w:val="0"/>
        <w:sz w:val="21"/>
      </w:rPr>
    </w:lvl>
    <w:lvl w:ilvl="2" w:tentative="0">
      <w:start w:val="1"/>
      <w:numFmt w:val="decimal"/>
      <w:pStyle w:val="212"/>
      <w:suff w:val="nothing"/>
      <w:lvlText w:val="%10.%2.%3 "/>
      <w:lvlJc w:val="left"/>
      <w:pPr>
        <w:ind w:left="0" w:firstLine="0"/>
      </w:pPr>
      <w:rPr>
        <w:rFonts w:hint="eastAsia" w:ascii="黑体" w:eastAsia="黑体" w:hAnsiTheme="minorHAnsi"/>
        <w:b w:val="0"/>
        <w:i w:val="0"/>
        <w:sz w:val="21"/>
      </w:rPr>
    </w:lvl>
    <w:lvl w:ilvl="3" w:tentative="0">
      <w:start w:val="1"/>
      <w:numFmt w:val="decimal"/>
      <w:pStyle w:val="213"/>
      <w:suff w:val="nothing"/>
      <w:lvlText w:val="%10.%2.%3.%4 "/>
      <w:lvlJc w:val="left"/>
      <w:pPr>
        <w:ind w:left="0" w:firstLine="0"/>
      </w:pPr>
      <w:rPr>
        <w:rFonts w:hint="eastAsia" w:ascii="黑体" w:eastAsia="黑体" w:hAnsiTheme="minorHAnsi"/>
        <w:b w:val="0"/>
        <w:i w:val="0"/>
        <w:sz w:val="21"/>
      </w:rPr>
    </w:lvl>
    <w:lvl w:ilvl="4" w:tentative="0">
      <w:start w:val="1"/>
      <w:numFmt w:val="decimal"/>
      <w:pStyle w:val="214"/>
      <w:suff w:val="nothing"/>
      <w:lvlText w:val="%10.%2.%3.%4.%5 "/>
      <w:lvlJc w:val="left"/>
      <w:pPr>
        <w:ind w:left="0" w:firstLine="0"/>
      </w:pPr>
      <w:rPr>
        <w:rFonts w:hint="eastAsia" w:ascii="黑体" w:eastAsia="黑体" w:hAnsiTheme="minorHAnsi"/>
        <w:b w:val="0"/>
        <w:i w:val="0"/>
        <w:sz w:val="21"/>
      </w:rPr>
    </w:lvl>
    <w:lvl w:ilvl="5" w:tentative="0">
      <w:start w:val="1"/>
      <w:numFmt w:val="decimal"/>
      <w:pStyle w:val="215"/>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0AE367E9"/>
    <w:multiLevelType w:val="multilevel"/>
    <w:tmpl w:val="0AE367E9"/>
    <w:lvl w:ilvl="0" w:tentative="0">
      <w:start w:val="1"/>
      <w:numFmt w:val="none"/>
      <w:pStyle w:val="192"/>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6">
    <w:nsid w:val="0BDC1670"/>
    <w:multiLevelType w:val="multilevel"/>
    <w:tmpl w:val="0BDC1670"/>
    <w:lvl w:ilvl="0" w:tentative="0">
      <w:start w:val="1"/>
      <w:numFmt w:val="decimal"/>
      <w:pStyle w:val="78"/>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D051F45"/>
    <w:multiLevelType w:val="multilevel"/>
    <w:tmpl w:val="0D051F45"/>
    <w:lvl w:ilvl="0" w:tentative="0">
      <w:start w:val="1"/>
      <w:numFmt w:val="lowerRoman"/>
      <w:pStyle w:val="18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8">
    <w:nsid w:val="1AD20F90"/>
    <w:multiLevelType w:val="multilevel"/>
    <w:tmpl w:val="1AD20F90"/>
    <w:lvl w:ilvl="0" w:tentative="0">
      <w:start w:val="1"/>
      <w:numFmt w:val="none"/>
      <w:pStyle w:val="121"/>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AF15012"/>
    <w:multiLevelType w:val="multilevel"/>
    <w:tmpl w:val="1AF15012"/>
    <w:lvl w:ilvl="0" w:tentative="0">
      <w:start w:val="1"/>
      <w:numFmt w:val="upperLetter"/>
      <w:pStyle w:val="96"/>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0">
    <w:nsid w:val="1EAA1992"/>
    <w:multiLevelType w:val="multilevel"/>
    <w:tmpl w:val="1EAA1992"/>
    <w:lvl w:ilvl="0" w:tentative="0">
      <w:start w:val="1"/>
      <w:numFmt w:val="none"/>
      <w:pStyle w:val="103"/>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1">
    <w:nsid w:val="21E76173"/>
    <w:multiLevelType w:val="multilevel"/>
    <w:tmpl w:val="21E76173"/>
    <w:lvl w:ilvl="0" w:tentative="0">
      <w:start w:val="1"/>
      <w:numFmt w:val="decimal"/>
      <w:isLgl/>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pStyle w:val="280"/>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2">
    <w:nsid w:val="29707437"/>
    <w:multiLevelType w:val="multilevel"/>
    <w:tmpl w:val="29707437"/>
    <w:lvl w:ilvl="0" w:tentative="0">
      <w:start w:val="1"/>
      <w:numFmt w:val="none"/>
      <w:pStyle w:val="289"/>
      <w:suff w:val="nothing"/>
      <w:lvlText w:val="%1注："/>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13">
    <w:nsid w:val="2A8F7113"/>
    <w:multiLevelType w:val="multilevel"/>
    <w:tmpl w:val="2A8F7113"/>
    <w:lvl w:ilvl="0" w:tentative="0">
      <w:start w:val="1"/>
      <w:numFmt w:val="upperLetter"/>
      <w:pStyle w:val="296"/>
      <w:suff w:val="space"/>
      <w:lvlText w:val="%1"/>
      <w:lvlJc w:val="left"/>
      <w:pPr>
        <w:ind w:left="623" w:hanging="425"/>
      </w:pPr>
      <w:rPr>
        <w:rFonts w:hint="eastAsia"/>
      </w:rPr>
    </w:lvl>
    <w:lvl w:ilvl="1" w:tentative="0">
      <w:start w:val="1"/>
      <w:numFmt w:val="decimal"/>
      <w:pStyle w:val="297"/>
      <w:suff w:val="nothing"/>
      <w:lvlText w:val="图%1.%2　"/>
      <w:lvlJc w:val="left"/>
      <w:pPr>
        <w:ind w:left="1190" w:hanging="567"/>
      </w:pPr>
      <w:rPr>
        <w:rFonts w:hint="eastAsia"/>
        <w:lang w:val="en-US"/>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14">
    <w:nsid w:val="2C5917C3"/>
    <w:multiLevelType w:val="multilevel"/>
    <w:tmpl w:val="2C5917C3"/>
    <w:lvl w:ilvl="0" w:tentative="0">
      <w:start w:val="1"/>
      <w:numFmt w:val="none"/>
      <w:pStyle w:val="143"/>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8"/>
      <w:lvlText w:val=""/>
      <w:lvlJc w:val="left"/>
      <w:pPr>
        <w:ind w:left="851" w:hanging="431"/>
      </w:pPr>
      <w:rPr>
        <w:rFonts w:hint="default" w:ascii="Symbol" w:hAnsi="Symbol"/>
        <w:sz w:val="21"/>
      </w:rPr>
    </w:lvl>
    <w:lvl w:ilvl="2" w:tentative="0">
      <w:start w:val="1"/>
      <w:numFmt w:val="bullet"/>
      <w:pStyle w:val="183"/>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5">
    <w:nsid w:val="32F04FB2"/>
    <w:multiLevelType w:val="multilevel"/>
    <w:tmpl w:val="32F04FB2"/>
    <w:lvl w:ilvl="0" w:tentative="0">
      <w:start w:val="1"/>
      <w:numFmt w:val="lowerLetter"/>
      <w:pStyle w:val="112"/>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6">
    <w:nsid w:val="40FA7C5B"/>
    <w:multiLevelType w:val="multilevel"/>
    <w:tmpl w:val="40FA7C5B"/>
    <w:lvl w:ilvl="0" w:tentative="0">
      <w:start w:val="1"/>
      <w:numFmt w:val="decimal"/>
      <w:pStyle w:val="242"/>
      <w:isLg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41"/>
      <w:suff w:val="nothing"/>
      <w:lvlText w:val="%1.%2　"/>
      <w:lvlJc w:val="left"/>
      <w:pPr>
        <w:ind w:left="425" w:firstLine="0"/>
      </w:pPr>
      <w:rPr>
        <w:rFonts w:hint="eastAsia" w:ascii="黑体" w:hAnsi="黑体" w:eastAsia="黑体"/>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244"/>
      <w:suff w:val="nothing"/>
      <w:lvlText w:val="%1.%2.%3　"/>
      <w:lvlJc w:val="left"/>
      <w:pPr>
        <w:ind w:left="567" w:firstLine="0"/>
      </w:pPr>
      <w:rPr>
        <w:rFonts w:hint="eastAsia" w:ascii="宋体" w:hAnsi="宋体" w:eastAsia="宋体"/>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245"/>
      <w:suff w:val="nothing"/>
      <w:lvlText w:val="%1.%2.%3.%4　"/>
      <w:lvlJc w:val="left"/>
      <w:pPr>
        <w:ind w:left="0" w:firstLine="0"/>
      </w:pPr>
      <w:rPr>
        <w:rFonts w:hint="eastAsia" w:eastAsia="宋体" w:asciiTheme="minorEastAsia" w:hAnsiTheme="minorEastAsia"/>
        <w:b w:val="0"/>
        <w:i w:val="0"/>
        <w:strike w:val="0"/>
        <w:sz w:val="21"/>
      </w:rPr>
    </w:lvl>
    <w:lvl w:ilvl="4" w:tentative="0">
      <w:start w:val="1"/>
      <w:numFmt w:val="decimal"/>
      <w:pStyle w:val="246"/>
      <w:suff w:val="nothing"/>
      <w:lvlText w:val="%1.%2.%3.%4.%5　"/>
      <w:lvlJc w:val="left"/>
      <w:pPr>
        <w:ind w:left="0" w:firstLine="0"/>
      </w:pPr>
      <w:rPr>
        <w:rFonts w:hint="eastAsia" w:ascii="黑体" w:hAnsi="Times New Roman" w:eastAsia="黑体"/>
        <w:b w:val="0"/>
        <w:i w:val="0"/>
        <w:sz w:val="21"/>
      </w:rPr>
    </w:lvl>
    <w:lvl w:ilvl="5" w:tentative="0">
      <w:start w:val="1"/>
      <w:numFmt w:val="decimal"/>
      <w:pStyle w:val="243"/>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7">
    <w:nsid w:val="44C50F90"/>
    <w:multiLevelType w:val="multilevel"/>
    <w:tmpl w:val="44C50F90"/>
    <w:lvl w:ilvl="0" w:tentative="0">
      <w:start w:val="1"/>
      <w:numFmt w:val="lowerLetter"/>
      <w:pStyle w:val="185"/>
      <w:lvlText w:val="%1)"/>
      <w:lvlJc w:val="left"/>
      <w:pPr>
        <w:tabs>
          <w:tab w:val="left" w:pos="851"/>
        </w:tabs>
        <w:ind w:left="851" w:hanging="426"/>
      </w:pPr>
      <w:rPr>
        <w:rFonts w:hint="eastAsia" w:ascii="宋体" w:hAnsi="Times New Roman" w:eastAsia="宋体"/>
        <w:sz w:val="21"/>
      </w:rPr>
    </w:lvl>
    <w:lvl w:ilvl="1" w:tentative="0">
      <w:start w:val="1"/>
      <w:numFmt w:val="decimal"/>
      <w:pStyle w:val="120"/>
      <w:lvlText w:val="%2)"/>
      <w:lvlJc w:val="left"/>
      <w:pPr>
        <w:tabs>
          <w:tab w:val="left" w:pos="1276"/>
        </w:tabs>
        <w:ind w:left="1276" w:hanging="425"/>
      </w:pPr>
      <w:rPr>
        <w:rFonts w:hint="eastAsia" w:ascii="宋体" w:hAnsi="Times New Roman" w:eastAsia="宋体"/>
        <w:sz w:val="21"/>
      </w:rPr>
    </w:lvl>
    <w:lvl w:ilvl="2" w:tentative="0">
      <w:start w:val="1"/>
      <w:numFmt w:val="decimal"/>
      <w:pStyle w:val="128"/>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8">
    <w:nsid w:val="48802D1C"/>
    <w:multiLevelType w:val="multilevel"/>
    <w:tmpl w:val="48802D1C"/>
    <w:lvl w:ilvl="0" w:tentative="0">
      <w:start w:val="1"/>
      <w:numFmt w:val="upperLetter"/>
      <w:pStyle w:val="209"/>
      <w:lvlText w:val="%1"/>
      <w:lvlJc w:val="left"/>
      <w:pPr>
        <w:ind w:left="420" w:hanging="420"/>
      </w:pPr>
      <w:rPr>
        <w:rFonts w:hint="eastAsia"/>
      </w:rPr>
    </w:lvl>
    <w:lvl w:ilvl="1" w:tentative="0">
      <w:start w:val="1"/>
      <w:numFmt w:val="decimal"/>
      <w:pStyle w:val="94"/>
      <w:suff w:val="space"/>
      <w:lvlText w:val="图%1.%2"/>
      <w:lvlJc w:val="center"/>
      <w:pPr>
        <w:ind w:left="4536"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
    <w:nsid w:val="4B733A5F"/>
    <w:multiLevelType w:val="multilevel"/>
    <w:tmpl w:val="4B733A5F"/>
    <w:lvl w:ilvl="0" w:tentative="0">
      <w:start w:val="1"/>
      <w:numFmt w:val="decimal"/>
      <w:pStyle w:val="194"/>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20">
    <w:nsid w:val="4E5D0534"/>
    <w:multiLevelType w:val="multilevel"/>
    <w:tmpl w:val="4E5D0534"/>
    <w:lvl w:ilvl="0" w:tentative="0">
      <w:start w:val="1"/>
      <w:numFmt w:val="decimal"/>
      <w:pStyle w:val="127"/>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1">
    <w:nsid w:val="54632751"/>
    <w:multiLevelType w:val="multilevel"/>
    <w:tmpl w:val="54632751"/>
    <w:lvl w:ilvl="0" w:tentative="0">
      <w:start w:val="1"/>
      <w:numFmt w:val="none"/>
      <w:pStyle w:val="104"/>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22">
    <w:nsid w:val="557C2AF5"/>
    <w:multiLevelType w:val="multilevel"/>
    <w:tmpl w:val="557C2AF5"/>
    <w:lvl w:ilvl="0" w:tentative="0">
      <w:start w:val="1"/>
      <w:numFmt w:val="decimal"/>
      <w:pStyle w:val="125"/>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3">
    <w:nsid w:val="5603797C"/>
    <w:multiLevelType w:val="multilevel"/>
    <w:tmpl w:val="5603797C"/>
    <w:lvl w:ilvl="0" w:tentative="0">
      <w:start w:val="1"/>
      <w:numFmt w:val="upperLetter"/>
      <w:pStyle w:val="210"/>
      <w:suff w:val="space"/>
      <w:lvlText w:val="%1"/>
      <w:lvlJc w:val="left"/>
      <w:pPr>
        <w:ind w:left="425" w:hanging="425"/>
      </w:pPr>
      <w:rPr>
        <w:rFonts w:hint="eastAsia"/>
      </w:rPr>
    </w:lvl>
    <w:lvl w:ilvl="1" w:tentative="0">
      <w:start w:val="1"/>
      <w:numFmt w:val="decimal"/>
      <w:pStyle w:val="88"/>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4">
    <w:nsid w:val="564D2089"/>
    <w:multiLevelType w:val="multilevel"/>
    <w:tmpl w:val="564D2089"/>
    <w:lvl w:ilvl="0" w:tentative="0">
      <w:start w:val="1"/>
      <w:numFmt w:val="none"/>
      <w:pStyle w:val="122"/>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60B55DC2"/>
    <w:multiLevelType w:val="multilevel"/>
    <w:tmpl w:val="60B55DC2"/>
    <w:lvl w:ilvl="0" w:tentative="0">
      <w:start w:val="1"/>
      <w:numFmt w:val="upperLetter"/>
      <w:pStyle w:val="291"/>
      <w:lvlText w:val="%1"/>
      <w:lvlJc w:val="left"/>
      <w:pPr>
        <w:tabs>
          <w:tab w:val="left" w:pos="0"/>
        </w:tabs>
        <w:ind w:left="0" w:hanging="425"/>
      </w:pPr>
      <w:rPr>
        <w:rFonts w:hint="eastAsia"/>
      </w:rPr>
    </w:lvl>
    <w:lvl w:ilvl="1" w:tentative="0">
      <w:start w:val="1"/>
      <w:numFmt w:val="decimal"/>
      <w:pStyle w:val="292"/>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26">
    <w:nsid w:val="644622F9"/>
    <w:multiLevelType w:val="multilevel"/>
    <w:tmpl w:val="644622F9"/>
    <w:lvl w:ilvl="0" w:tentative="0">
      <w:start w:val="1"/>
      <w:numFmt w:val="upperRoman"/>
      <w:pStyle w:val="17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7">
    <w:nsid w:val="646260FA"/>
    <w:multiLevelType w:val="multilevel"/>
    <w:tmpl w:val="646260FA"/>
    <w:lvl w:ilvl="0" w:tentative="0">
      <w:start w:val="1"/>
      <w:numFmt w:val="decimal"/>
      <w:pStyle w:val="123"/>
      <w:suff w:val="nothing"/>
      <w:lvlText w:val="表%1　"/>
      <w:lvlJc w:val="left"/>
      <w:pPr>
        <w:ind w:left="3261"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8">
    <w:nsid w:val="654A26C9"/>
    <w:multiLevelType w:val="multilevel"/>
    <w:tmpl w:val="654A26C9"/>
    <w:lvl w:ilvl="0" w:tentative="0">
      <w:start w:val="1"/>
      <w:numFmt w:val="none"/>
      <w:pStyle w:val="200"/>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9">
    <w:nsid w:val="657D3FBC"/>
    <w:multiLevelType w:val="multilevel"/>
    <w:tmpl w:val="657D3FBC"/>
    <w:lvl w:ilvl="0" w:tentative="0">
      <w:start w:val="1"/>
      <w:numFmt w:val="upperLetter"/>
      <w:pStyle w:val="87"/>
      <w:suff w:val="nothing"/>
      <w:lvlText w:val="附录%1"/>
      <w:lvlJc w:val="left"/>
      <w:pPr>
        <w:ind w:left="0" w:firstLine="0"/>
      </w:pPr>
      <w:rPr>
        <w:rFonts w:hint="eastAsia"/>
        <w:spacing w:val="100"/>
      </w:rPr>
    </w:lvl>
    <w:lvl w:ilvl="1" w:tentative="0">
      <w:start w:val="1"/>
      <w:numFmt w:val="decimal"/>
      <w:pStyle w:val="89"/>
      <w:suff w:val="nothing"/>
      <w:lvlText w:val="%1.%2　"/>
      <w:lvlJc w:val="left"/>
      <w:pPr>
        <w:ind w:left="0" w:firstLine="0"/>
      </w:pPr>
      <w:rPr>
        <w:rFonts w:hint="eastAsia" w:ascii="黑体" w:eastAsia="黑体"/>
        <w:b w:val="0"/>
        <w:i w:val="0"/>
        <w:sz w:val="21"/>
      </w:rPr>
    </w:lvl>
    <w:lvl w:ilvl="2" w:tentative="0">
      <w:start w:val="1"/>
      <w:numFmt w:val="decimal"/>
      <w:pStyle w:val="90"/>
      <w:suff w:val="nothing"/>
      <w:lvlText w:val="%1.%2.%3　"/>
      <w:lvlJc w:val="left"/>
      <w:pPr>
        <w:ind w:left="0" w:firstLine="0"/>
      </w:pPr>
      <w:rPr>
        <w:rFonts w:hint="eastAsia" w:ascii="黑体" w:eastAsia="黑体"/>
        <w:b w:val="0"/>
        <w:i w:val="0"/>
        <w:sz w:val="21"/>
      </w:rPr>
    </w:lvl>
    <w:lvl w:ilvl="3" w:tentative="0">
      <w:start w:val="1"/>
      <w:numFmt w:val="decimal"/>
      <w:pStyle w:val="92"/>
      <w:suff w:val="nothing"/>
      <w:lvlText w:val="%1.%2.%3.%4　"/>
      <w:lvlJc w:val="left"/>
      <w:pPr>
        <w:ind w:left="0" w:firstLine="0"/>
      </w:pPr>
      <w:rPr>
        <w:rFonts w:hint="eastAsia" w:ascii="黑体" w:eastAsia="黑体"/>
        <w:b w:val="0"/>
        <w:i w:val="0"/>
        <w:sz w:val="21"/>
      </w:rPr>
    </w:lvl>
    <w:lvl w:ilvl="4" w:tentative="0">
      <w:start w:val="1"/>
      <w:numFmt w:val="decimal"/>
      <w:pStyle w:val="93"/>
      <w:suff w:val="nothing"/>
      <w:lvlText w:val="%1.%2.%3.%4.%5　"/>
      <w:lvlJc w:val="left"/>
      <w:pPr>
        <w:ind w:left="0" w:firstLine="0"/>
      </w:pPr>
      <w:rPr>
        <w:rFonts w:hint="eastAsia" w:ascii="黑体" w:eastAsia="黑体"/>
        <w:b w:val="0"/>
        <w:i w:val="0"/>
        <w:sz w:val="21"/>
      </w:rPr>
    </w:lvl>
    <w:lvl w:ilvl="5" w:tentative="0">
      <w:start w:val="1"/>
      <w:numFmt w:val="decimal"/>
      <w:pStyle w:val="95"/>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0">
    <w:nsid w:val="69506ABF"/>
    <w:multiLevelType w:val="multilevel"/>
    <w:tmpl w:val="69506ABF"/>
    <w:lvl w:ilvl="0" w:tentative="0">
      <w:start w:val="1"/>
      <w:numFmt w:val="bullet"/>
      <w:pStyle w:val="199"/>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31">
    <w:nsid w:val="6CA41985"/>
    <w:multiLevelType w:val="multilevel"/>
    <w:tmpl w:val="6CA41985"/>
    <w:lvl w:ilvl="0" w:tentative="0">
      <w:start w:val="1"/>
      <w:numFmt w:val="decimal"/>
      <w:pStyle w:val="108"/>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
    <w:nsid w:val="6CE42AC1"/>
    <w:multiLevelType w:val="multilevel"/>
    <w:tmpl w:val="6CE42AC1"/>
    <w:lvl w:ilvl="0" w:tentative="0">
      <w:start w:val="1"/>
      <w:numFmt w:val="lowerLetter"/>
      <w:pStyle w:val="18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6CEA2025"/>
    <w:multiLevelType w:val="multilevel"/>
    <w:tmpl w:val="6CEA2025"/>
    <w:lvl w:ilvl="0" w:tentative="0">
      <w:start w:val="1"/>
      <w:numFmt w:val="none"/>
      <w:pStyle w:val="163"/>
      <w:suff w:val="nothing"/>
      <w:lvlText w:val="%1"/>
      <w:lvlJc w:val="left"/>
      <w:pPr>
        <w:ind w:left="0" w:firstLine="0"/>
      </w:pPr>
      <w:rPr>
        <w:rFonts w:hint="eastAsia"/>
      </w:rPr>
    </w:lvl>
    <w:lvl w:ilvl="1" w:tentative="0">
      <w:start w:val="1"/>
      <w:numFmt w:val="decimal"/>
      <w:pStyle w:val="115"/>
      <w:suff w:val="nothing"/>
      <w:lvlText w:val="%1%2　"/>
      <w:lvlJc w:val="left"/>
      <w:pPr>
        <w:ind w:left="0" w:firstLine="0"/>
      </w:pPr>
      <w:rPr>
        <w:rFonts w:hint="eastAsia" w:ascii="黑体" w:eastAsia="黑体"/>
        <w:b w:val="0"/>
        <w:i w:val="0"/>
        <w:sz w:val="21"/>
      </w:rPr>
    </w:lvl>
    <w:lvl w:ilvl="2" w:tentative="0">
      <w:start w:val="1"/>
      <w:numFmt w:val="decimal"/>
      <w:pStyle w:val="116"/>
      <w:suff w:val="nothing"/>
      <w:lvlText w:val="%1%2.%3　"/>
      <w:lvlJc w:val="left"/>
      <w:pPr>
        <w:ind w:left="284"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76"/>
      <w:suff w:val="nothing"/>
      <w:lvlText w:val="%1%2.%3.%4　"/>
      <w:lvlJc w:val="left"/>
      <w:pPr>
        <w:ind w:left="426" w:firstLine="0"/>
      </w:pPr>
      <w:rPr>
        <w:rFonts w:hint="eastAsia" w:ascii="黑体" w:eastAsia="黑体"/>
        <w:b w:val="0"/>
        <w:i w:val="0"/>
        <w:strike w:val="0"/>
        <w:sz w:val="21"/>
      </w:rPr>
    </w:lvl>
    <w:lvl w:ilvl="4" w:tentative="0">
      <w:start w:val="1"/>
      <w:numFmt w:val="decimal"/>
      <w:pStyle w:val="105"/>
      <w:suff w:val="nothing"/>
      <w:lvlText w:val="%1%2.%3.%4.%5　"/>
      <w:lvlJc w:val="left"/>
      <w:pPr>
        <w:ind w:left="0" w:firstLine="0"/>
      </w:pPr>
      <w:rPr>
        <w:rFonts w:hint="eastAsia" w:ascii="黑体" w:eastAsia="黑体"/>
        <w:b w:val="0"/>
        <w:i w:val="0"/>
        <w:strike w:val="0"/>
        <w:sz w:val="21"/>
      </w:rPr>
    </w:lvl>
    <w:lvl w:ilvl="5" w:tentative="0">
      <w:start w:val="1"/>
      <w:numFmt w:val="decimal"/>
      <w:pStyle w:val="109"/>
      <w:suff w:val="nothing"/>
      <w:lvlText w:val="%1%2.%3.%4.%5.%6　"/>
      <w:lvlJc w:val="left"/>
      <w:pPr>
        <w:ind w:left="0" w:firstLine="0"/>
      </w:pPr>
      <w:rPr>
        <w:rFonts w:hint="eastAsia" w:ascii="黑体" w:eastAsia="黑体"/>
        <w:b w:val="0"/>
        <w:i w:val="0"/>
        <w:sz w:val="21"/>
      </w:rPr>
    </w:lvl>
    <w:lvl w:ilvl="6" w:tentative="0">
      <w:start w:val="1"/>
      <w:numFmt w:val="decimal"/>
      <w:pStyle w:val="114"/>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4">
    <w:nsid w:val="6DBF04F4"/>
    <w:multiLevelType w:val="multilevel"/>
    <w:tmpl w:val="6DBF04F4"/>
    <w:lvl w:ilvl="0" w:tentative="0">
      <w:start w:val="1"/>
      <w:numFmt w:val="none"/>
      <w:pStyle w:val="190"/>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5">
    <w:nsid w:val="6DF35F19"/>
    <w:multiLevelType w:val="multilevel"/>
    <w:tmpl w:val="6DF35F19"/>
    <w:lvl w:ilvl="0" w:tentative="0">
      <w:start w:val="1"/>
      <w:numFmt w:val="decimal"/>
      <w:pStyle w:val="126"/>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6">
    <w:nsid w:val="76933334"/>
    <w:multiLevelType w:val="multilevel"/>
    <w:tmpl w:val="76933334"/>
    <w:lvl w:ilvl="0" w:tentative="0">
      <w:start w:val="1"/>
      <w:numFmt w:val="none"/>
      <w:pStyle w:val="150"/>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33"/>
  </w:num>
  <w:num w:numId="3">
    <w:abstractNumId w:val="6"/>
  </w:num>
  <w:num w:numId="4">
    <w:abstractNumId w:val="29"/>
  </w:num>
  <w:num w:numId="5">
    <w:abstractNumId w:val="23"/>
  </w:num>
  <w:num w:numId="6">
    <w:abstractNumId w:val="18"/>
  </w:num>
  <w:num w:numId="7">
    <w:abstractNumId w:val="9"/>
  </w:num>
  <w:num w:numId="8">
    <w:abstractNumId w:val="4"/>
  </w:num>
  <w:num w:numId="9">
    <w:abstractNumId w:val="10"/>
  </w:num>
  <w:num w:numId="10">
    <w:abstractNumId w:val="21"/>
  </w:num>
  <w:num w:numId="11">
    <w:abstractNumId w:val="31"/>
  </w:num>
  <w:num w:numId="12">
    <w:abstractNumId w:val="15"/>
  </w:num>
  <w:num w:numId="13">
    <w:abstractNumId w:val="17"/>
  </w:num>
  <w:num w:numId="14">
    <w:abstractNumId w:val="8"/>
  </w:num>
  <w:num w:numId="15">
    <w:abstractNumId w:val="24"/>
  </w:num>
  <w:num w:numId="16">
    <w:abstractNumId w:val="27"/>
  </w:num>
  <w:num w:numId="17">
    <w:abstractNumId w:val="22"/>
  </w:num>
  <w:num w:numId="18">
    <w:abstractNumId w:val="35"/>
  </w:num>
  <w:num w:numId="19">
    <w:abstractNumId w:val="20"/>
  </w:num>
  <w:num w:numId="20">
    <w:abstractNumId w:val="1"/>
  </w:num>
  <w:num w:numId="21">
    <w:abstractNumId w:val="14"/>
  </w:num>
  <w:num w:numId="22">
    <w:abstractNumId w:val="36"/>
  </w:num>
  <w:num w:numId="23">
    <w:abstractNumId w:val="26"/>
  </w:num>
  <w:num w:numId="24">
    <w:abstractNumId w:val="7"/>
  </w:num>
  <w:num w:numId="25">
    <w:abstractNumId w:val="32"/>
  </w:num>
  <w:num w:numId="26">
    <w:abstractNumId w:val="34"/>
  </w:num>
  <w:num w:numId="27">
    <w:abstractNumId w:val="3"/>
  </w:num>
  <w:num w:numId="28">
    <w:abstractNumId w:val="5"/>
  </w:num>
  <w:num w:numId="29">
    <w:abstractNumId w:val="19"/>
  </w:num>
  <w:num w:numId="30">
    <w:abstractNumId w:val="30"/>
  </w:num>
  <w:num w:numId="31">
    <w:abstractNumId w:val="28"/>
  </w:num>
  <w:num w:numId="32">
    <w:abstractNumId w:val="16"/>
  </w:num>
  <w:num w:numId="33">
    <w:abstractNumId w:val="11"/>
  </w:num>
  <w:num w:numId="34">
    <w:abstractNumId w:val="12"/>
  </w:num>
  <w:num w:numId="35">
    <w:abstractNumId w:val="25"/>
  </w:num>
  <w:num w:numId="36">
    <w:abstractNumId w:val="13"/>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documentProtection w:edit="forms" w:enforcement="0"/>
  <w:defaultTabStop w:val="420"/>
  <w:evenAndOddHeaders w:val="1"/>
  <w:drawingGridHorizontalSpacing w:val="105"/>
  <w:drawingGridVerticalSpacing w:val="156"/>
  <w:displayHorizontalDrawingGridEvery w:val="0"/>
  <w:displayVerticalDrawingGridEvery w:val="2"/>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11A"/>
    <w:rsid w:val="0000040A"/>
    <w:rsid w:val="00000A94"/>
    <w:rsid w:val="00001972"/>
    <w:rsid w:val="00001BFE"/>
    <w:rsid w:val="00001D9A"/>
    <w:rsid w:val="00003F14"/>
    <w:rsid w:val="00005D8D"/>
    <w:rsid w:val="00006111"/>
    <w:rsid w:val="00007B3A"/>
    <w:rsid w:val="000107E0"/>
    <w:rsid w:val="00011FDE"/>
    <w:rsid w:val="0001241A"/>
    <w:rsid w:val="00012FFD"/>
    <w:rsid w:val="00013100"/>
    <w:rsid w:val="00013CCC"/>
    <w:rsid w:val="00014162"/>
    <w:rsid w:val="00014340"/>
    <w:rsid w:val="00016A9C"/>
    <w:rsid w:val="00017058"/>
    <w:rsid w:val="00020B92"/>
    <w:rsid w:val="00022184"/>
    <w:rsid w:val="00022762"/>
    <w:rsid w:val="00022817"/>
    <w:rsid w:val="000238E0"/>
    <w:rsid w:val="000249DB"/>
    <w:rsid w:val="00024AEA"/>
    <w:rsid w:val="0002595E"/>
    <w:rsid w:val="000303C3"/>
    <w:rsid w:val="000309B5"/>
    <w:rsid w:val="00030B3A"/>
    <w:rsid w:val="00031273"/>
    <w:rsid w:val="000331D3"/>
    <w:rsid w:val="000346A5"/>
    <w:rsid w:val="000346AE"/>
    <w:rsid w:val="000359C3"/>
    <w:rsid w:val="00035A7D"/>
    <w:rsid w:val="0003617F"/>
    <w:rsid w:val="00036B79"/>
    <w:rsid w:val="0003735F"/>
    <w:rsid w:val="00037C24"/>
    <w:rsid w:val="0004249A"/>
    <w:rsid w:val="0004301A"/>
    <w:rsid w:val="00043282"/>
    <w:rsid w:val="00044286"/>
    <w:rsid w:val="000457A7"/>
    <w:rsid w:val="000474D7"/>
    <w:rsid w:val="00047F28"/>
    <w:rsid w:val="000503AA"/>
    <w:rsid w:val="000506A1"/>
    <w:rsid w:val="000515DD"/>
    <w:rsid w:val="0005265A"/>
    <w:rsid w:val="000539DD"/>
    <w:rsid w:val="00053BD3"/>
    <w:rsid w:val="00054DB1"/>
    <w:rsid w:val="000556ED"/>
    <w:rsid w:val="00055FE2"/>
    <w:rsid w:val="0005616F"/>
    <w:rsid w:val="00057681"/>
    <w:rsid w:val="00060C2E"/>
    <w:rsid w:val="00061033"/>
    <w:rsid w:val="000619E9"/>
    <w:rsid w:val="000622D4"/>
    <w:rsid w:val="0006357D"/>
    <w:rsid w:val="00067F1E"/>
    <w:rsid w:val="000700DC"/>
    <w:rsid w:val="000705DC"/>
    <w:rsid w:val="00071CC0"/>
    <w:rsid w:val="00073C8C"/>
    <w:rsid w:val="00075108"/>
    <w:rsid w:val="00077B64"/>
    <w:rsid w:val="00080A1C"/>
    <w:rsid w:val="00080C71"/>
    <w:rsid w:val="00082317"/>
    <w:rsid w:val="00083D2C"/>
    <w:rsid w:val="00084481"/>
    <w:rsid w:val="00084B3A"/>
    <w:rsid w:val="00086AA1"/>
    <w:rsid w:val="00087A77"/>
    <w:rsid w:val="00090CA6"/>
    <w:rsid w:val="0009254C"/>
    <w:rsid w:val="00092B8A"/>
    <w:rsid w:val="00092FB0"/>
    <w:rsid w:val="000934C5"/>
    <w:rsid w:val="00093D25"/>
    <w:rsid w:val="00094D73"/>
    <w:rsid w:val="00096D63"/>
    <w:rsid w:val="000A0B60"/>
    <w:rsid w:val="000A0EB8"/>
    <w:rsid w:val="000A19FC"/>
    <w:rsid w:val="000A1A4B"/>
    <w:rsid w:val="000A296B"/>
    <w:rsid w:val="000A3151"/>
    <w:rsid w:val="000A7311"/>
    <w:rsid w:val="000B060F"/>
    <w:rsid w:val="000B1592"/>
    <w:rsid w:val="000B1FF2"/>
    <w:rsid w:val="000B26B0"/>
    <w:rsid w:val="000B3CDA"/>
    <w:rsid w:val="000B6A0B"/>
    <w:rsid w:val="000C0B86"/>
    <w:rsid w:val="000C0F6C"/>
    <w:rsid w:val="000C11DB"/>
    <w:rsid w:val="000C2FBD"/>
    <w:rsid w:val="000C3586"/>
    <w:rsid w:val="000C3E10"/>
    <w:rsid w:val="000C431D"/>
    <w:rsid w:val="000C4B41"/>
    <w:rsid w:val="000C5751"/>
    <w:rsid w:val="000C57D6"/>
    <w:rsid w:val="000C582F"/>
    <w:rsid w:val="000C7666"/>
    <w:rsid w:val="000D0A9C"/>
    <w:rsid w:val="000D1795"/>
    <w:rsid w:val="000D329A"/>
    <w:rsid w:val="000D4B9C"/>
    <w:rsid w:val="000D4EB6"/>
    <w:rsid w:val="000D60FB"/>
    <w:rsid w:val="000D753B"/>
    <w:rsid w:val="000E40E2"/>
    <w:rsid w:val="000E4C9E"/>
    <w:rsid w:val="000E5806"/>
    <w:rsid w:val="000E6638"/>
    <w:rsid w:val="000E6FD7"/>
    <w:rsid w:val="000E73F3"/>
    <w:rsid w:val="000F06E1"/>
    <w:rsid w:val="000F0E3C"/>
    <w:rsid w:val="000F19D5"/>
    <w:rsid w:val="000F26E7"/>
    <w:rsid w:val="000F37B3"/>
    <w:rsid w:val="000F4AEA"/>
    <w:rsid w:val="000F6501"/>
    <w:rsid w:val="000F67E9"/>
    <w:rsid w:val="001016A7"/>
    <w:rsid w:val="00104926"/>
    <w:rsid w:val="00105514"/>
    <w:rsid w:val="001102C8"/>
    <w:rsid w:val="00112EA0"/>
    <w:rsid w:val="00113B1E"/>
    <w:rsid w:val="0011711C"/>
    <w:rsid w:val="00124E4F"/>
    <w:rsid w:val="001260B7"/>
    <w:rsid w:val="001265CB"/>
    <w:rsid w:val="0013073E"/>
    <w:rsid w:val="001321C6"/>
    <w:rsid w:val="001325C4"/>
    <w:rsid w:val="00133010"/>
    <w:rsid w:val="001337A1"/>
    <w:rsid w:val="001338EE"/>
    <w:rsid w:val="00133AAE"/>
    <w:rsid w:val="00135323"/>
    <w:rsid w:val="001356C4"/>
    <w:rsid w:val="00137100"/>
    <w:rsid w:val="00141114"/>
    <w:rsid w:val="00142969"/>
    <w:rsid w:val="001457E7"/>
    <w:rsid w:val="00145D9D"/>
    <w:rsid w:val="00146388"/>
    <w:rsid w:val="00150E9E"/>
    <w:rsid w:val="001529E5"/>
    <w:rsid w:val="00153C7E"/>
    <w:rsid w:val="00154F86"/>
    <w:rsid w:val="00156B25"/>
    <w:rsid w:val="00156E1A"/>
    <w:rsid w:val="00156FC4"/>
    <w:rsid w:val="00157B55"/>
    <w:rsid w:val="0016146A"/>
    <w:rsid w:val="001642FA"/>
    <w:rsid w:val="001649EB"/>
    <w:rsid w:val="00164BAF"/>
    <w:rsid w:val="00164FA8"/>
    <w:rsid w:val="00165065"/>
    <w:rsid w:val="00165434"/>
    <w:rsid w:val="0016580B"/>
    <w:rsid w:val="00165F49"/>
    <w:rsid w:val="00166B88"/>
    <w:rsid w:val="0016770A"/>
    <w:rsid w:val="00170804"/>
    <w:rsid w:val="001708E9"/>
    <w:rsid w:val="0017340B"/>
    <w:rsid w:val="00173B30"/>
    <w:rsid w:val="00173FB1"/>
    <w:rsid w:val="001745D4"/>
    <w:rsid w:val="00176DFD"/>
    <w:rsid w:val="00182136"/>
    <w:rsid w:val="001852C9"/>
    <w:rsid w:val="001865DB"/>
    <w:rsid w:val="00190087"/>
    <w:rsid w:val="0019073D"/>
    <w:rsid w:val="001913C4"/>
    <w:rsid w:val="00191ED2"/>
    <w:rsid w:val="0019348F"/>
    <w:rsid w:val="00193966"/>
    <w:rsid w:val="00193A07"/>
    <w:rsid w:val="00194C95"/>
    <w:rsid w:val="00195C34"/>
    <w:rsid w:val="001A1A53"/>
    <w:rsid w:val="001A22C3"/>
    <w:rsid w:val="001A234A"/>
    <w:rsid w:val="001A7B06"/>
    <w:rsid w:val="001B06E8"/>
    <w:rsid w:val="001B71D0"/>
    <w:rsid w:val="001B71EE"/>
    <w:rsid w:val="001C0467"/>
    <w:rsid w:val="001C04A8"/>
    <w:rsid w:val="001C0F33"/>
    <w:rsid w:val="001C139C"/>
    <w:rsid w:val="001C2C03"/>
    <w:rsid w:val="001C42F7"/>
    <w:rsid w:val="001C49E5"/>
    <w:rsid w:val="001C5D64"/>
    <w:rsid w:val="001C680C"/>
    <w:rsid w:val="001C7FEA"/>
    <w:rsid w:val="001D0499"/>
    <w:rsid w:val="001D0BBE"/>
    <w:rsid w:val="001D0ED4"/>
    <w:rsid w:val="001D1C53"/>
    <w:rsid w:val="001D212F"/>
    <w:rsid w:val="001D29D7"/>
    <w:rsid w:val="001D2BE5"/>
    <w:rsid w:val="001D2DE7"/>
    <w:rsid w:val="001D411C"/>
    <w:rsid w:val="001D5679"/>
    <w:rsid w:val="001E12ED"/>
    <w:rsid w:val="001E1B6A"/>
    <w:rsid w:val="001E2484"/>
    <w:rsid w:val="001E3CC4"/>
    <w:rsid w:val="001E4882"/>
    <w:rsid w:val="001E73AB"/>
    <w:rsid w:val="001F092D"/>
    <w:rsid w:val="001F143A"/>
    <w:rsid w:val="001F1605"/>
    <w:rsid w:val="001F1796"/>
    <w:rsid w:val="001F2508"/>
    <w:rsid w:val="001F382F"/>
    <w:rsid w:val="001F3B33"/>
    <w:rsid w:val="001F4816"/>
    <w:rsid w:val="001F69B4"/>
    <w:rsid w:val="001F77C7"/>
    <w:rsid w:val="00200183"/>
    <w:rsid w:val="0020107D"/>
    <w:rsid w:val="00202AA4"/>
    <w:rsid w:val="002031F7"/>
    <w:rsid w:val="002040E6"/>
    <w:rsid w:val="00204EC3"/>
    <w:rsid w:val="0020527B"/>
    <w:rsid w:val="00207BB7"/>
    <w:rsid w:val="00210B15"/>
    <w:rsid w:val="00212D96"/>
    <w:rsid w:val="002142EA"/>
    <w:rsid w:val="0021491C"/>
    <w:rsid w:val="002200BD"/>
    <w:rsid w:val="002204BB"/>
    <w:rsid w:val="00221B79"/>
    <w:rsid w:val="00221C6B"/>
    <w:rsid w:val="0022211A"/>
    <w:rsid w:val="002253A1"/>
    <w:rsid w:val="00225CF8"/>
    <w:rsid w:val="0022794E"/>
    <w:rsid w:val="00227A12"/>
    <w:rsid w:val="00233D64"/>
    <w:rsid w:val="0023482A"/>
    <w:rsid w:val="00234A5F"/>
    <w:rsid w:val="002359CB"/>
    <w:rsid w:val="00236703"/>
    <w:rsid w:val="00243540"/>
    <w:rsid w:val="0024497B"/>
    <w:rsid w:val="00244F7B"/>
    <w:rsid w:val="0024515B"/>
    <w:rsid w:val="00246021"/>
    <w:rsid w:val="0024666E"/>
    <w:rsid w:val="00247AFC"/>
    <w:rsid w:val="00247F52"/>
    <w:rsid w:val="002506C8"/>
    <w:rsid w:val="00250B25"/>
    <w:rsid w:val="00250BBE"/>
    <w:rsid w:val="0025194F"/>
    <w:rsid w:val="00252646"/>
    <w:rsid w:val="00252BC9"/>
    <w:rsid w:val="00252C34"/>
    <w:rsid w:val="002566D5"/>
    <w:rsid w:val="0026148A"/>
    <w:rsid w:val="0026181F"/>
    <w:rsid w:val="00262696"/>
    <w:rsid w:val="002629FD"/>
    <w:rsid w:val="002643C3"/>
    <w:rsid w:val="00264A0C"/>
    <w:rsid w:val="002653C9"/>
    <w:rsid w:val="002662CD"/>
    <w:rsid w:val="00266CEA"/>
    <w:rsid w:val="0026760A"/>
    <w:rsid w:val="00267EF4"/>
    <w:rsid w:val="00270CB8"/>
    <w:rsid w:val="00272B08"/>
    <w:rsid w:val="0027311C"/>
    <w:rsid w:val="002800D5"/>
    <w:rsid w:val="00280F2C"/>
    <w:rsid w:val="00281BB8"/>
    <w:rsid w:val="00281E9E"/>
    <w:rsid w:val="0028380C"/>
    <w:rsid w:val="00285170"/>
    <w:rsid w:val="00285361"/>
    <w:rsid w:val="00286DD9"/>
    <w:rsid w:val="00287E49"/>
    <w:rsid w:val="00292AB3"/>
    <w:rsid w:val="00292D60"/>
    <w:rsid w:val="00294D34"/>
    <w:rsid w:val="00294E3B"/>
    <w:rsid w:val="00296193"/>
    <w:rsid w:val="0029649C"/>
    <w:rsid w:val="00296A76"/>
    <w:rsid w:val="00296C66"/>
    <w:rsid w:val="00296EBE"/>
    <w:rsid w:val="002974E3"/>
    <w:rsid w:val="002A084B"/>
    <w:rsid w:val="002A1260"/>
    <w:rsid w:val="002A1589"/>
    <w:rsid w:val="002A1608"/>
    <w:rsid w:val="002A1A88"/>
    <w:rsid w:val="002A25DC"/>
    <w:rsid w:val="002A3AAB"/>
    <w:rsid w:val="002A4CEA"/>
    <w:rsid w:val="002A5977"/>
    <w:rsid w:val="002A5A13"/>
    <w:rsid w:val="002A752C"/>
    <w:rsid w:val="002A7F44"/>
    <w:rsid w:val="002B0B9D"/>
    <w:rsid w:val="002B0C40"/>
    <w:rsid w:val="002B1966"/>
    <w:rsid w:val="002B28B1"/>
    <w:rsid w:val="002B4508"/>
    <w:rsid w:val="002B5779"/>
    <w:rsid w:val="002B7332"/>
    <w:rsid w:val="002B7F51"/>
    <w:rsid w:val="002C068D"/>
    <w:rsid w:val="002C09E7"/>
    <w:rsid w:val="002C0EC4"/>
    <w:rsid w:val="002C1B28"/>
    <w:rsid w:val="002C29B0"/>
    <w:rsid w:val="002C3F07"/>
    <w:rsid w:val="002C5278"/>
    <w:rsid w:val="002C7EBB"/>
    <w:rsid w:val="002D06C1"/>
    <w:rsid w:val="002D3A4D"/>
    <w:rsid w:val="002D42B5"/>
    <w:rsid w:val="002D4F1A"/>
    <w:rsid w:val="002D6EC6"/>
    <w:rsid w:val="002D79AC"/>
    <w:rsid w:val="002E039D"/>
    <w:rsid w:val="002E4D5A"/>
    <w:rsid w:val="002E5F09"/>
    <w:rsid w:val="002E6326"/>
    <w:rsid w:val="002E6845"/>
    <w:rsid w:val="002F084B"/>
    <w:rsid w:val="002F30E0"/>
    <w:rsid w:val="002F35E4"/>
    <w:rsid w:val="002F3730"/>
    <w:rsid w:val="002F38E1"/>
    <w:rsid w:val="002F5857"/>
    <w:rsid w:val="002F7AF6"/>
    <w:rsid w:val="0030071E"/>
    <w:rsid w:val="00300E63"/>
    <w:rsid w:val="00301451"/>
    <w:rsid w:val="00302F5F"/>
    <w:rsid w:val="0030383D"/>
    <w:rsid w:val="0030441D"/>
    <w:rsid w:val="00306063"/>
    <w:rsid w:val="003067D6"/>
    <w:rsid w:val="00311A33"/>
    <w:rsid w:val="00311CBA"/>
    <w:rsid w:val="00313B85"/>
    <w:rsid w:val="00314BDF"/>
    <w:rsid w:val="00315DFB"/>
    <w:rsid w:val="00317988"/>
    <w:rsid w:val="003221B4"/>
    <w:rsid w:val="00322E62"/>
    <w:rsid w:val="00324EDD"/>
    <w:rsid w:val="003315E5"/>
    <w:rsid w:val="00335756"/>
    <w:rsid w:val="00336C64"/>
    <w:rsid w:val="00337162"/>
    <w:rsid w:val="003405AD"/>
    <w:rsid w:val="0034194F"/>
    <w:rsid w:val="00344605"/>
    <w:rsid w:val="003474AA"/>
    <w:rsid w:val="00347DA0"/>
    <w:rsid w:val="003500DA"/>
    <w:rsid w:val="00350D1D"/>
    <w:rsid w:val="00352C83"/>
    <w:rsid w:val="003615D2"/>
    <w:rsid w:val="00362BCB"/>
    <w:rsid w:val="0036429C"/>
    <w:rsid w:val="00364A53"/>
    <w:rsid w:val="003654CB"/>
    <w:rsid w:val="00365F86"/>
    <w:rsid w:val="00365F87"/>
    <w:rsid w:val="003705F4"/>
    <w:rsid w:val="00370D58"/>
    <w:rsid w:val="00371316"/>
    <w:rsid w:val="00376713"/>
    <w:rsid w:val="00381815"/>
    <w:rsid w:val="003819AF"/>
    <w:rsid w:val="003820E9"/>
    <w:rsid w:val="00382DE7"/>
    <w:rsid w:val="00384FFC"/>
    <w:rsid w:val="003854B8"/>
    <w:rsid w:val="003872FC"/>
    <w:rsid w:val="00387ADC"/>
    <w:rsid w:val="00390020"/>
    <w:rsid w:val="003903D6"/>
    <w:rsid w:val="00390C45"/>
    <w:rsid w:val="00390EE6"/>
    <w:rsid w:val="0039118F"/>
    <w:rsid w:val="00392AD7"/>
    <w:rsid w:val="0039304E"/>
    <w:rsid w:val="003938D9"/>
    <w:rsid w:val="00394376"/>
    <w:rsid w:val="003943FF"/>
    <w:rsid w:val="00395DB5"/>
    <w:rsid w:val="00396E20"/>
    <w:rsid w:val="003974EB"/>
    <w:rsid w:val="00397CC5"/>
    <w:rsid w:val="003A102E"/>
    <w:rsid w:val="003A1582"/>
    <w:rsid w:val="003A4077"/>
    <w:rsid w:val="003A57CE"/>
    <w:rsid w:val="003B09AD"/>
    <w:rsid w:val="003B1F18"/>
    <w:rsid w:val="003B45F4"/>
    <w:rsid w:val="003B5BF0"/>
    <w:rsid w:val="003B60BF"/>
    <w:rsid w:val="003B6BE3"/>
    <w:rsid w:val="003C010C"/>
    <w:rsid w:val="003C0A6C"/>
    <w:rsid w:val="003C199C"/>
    <w:rsid w:val="003C583C"/>
    <w:rsid w:val="003C5A43"/>
    <w:rsid w:val="003D0519"/>
    <w:rsid w:val="003D0FF6"/>
    <w:rsid w:val="003D262C"/>
    <w:rsid w:val="003D449E"/>
    <w:rsid w:val="003D6D61"/>
    <w:rsid w:val="003D7F6E"/>
    <w:rsid w:val="003E091D"/>
    <w:rsid w:val="003E142B"/>
    <w:rsid w:val="003E1C53"/>
    <w:rsid w:val="003E2A69"/>
    <w:rsid w:val="003E2D49"/>
    <w:rsid w:val="003E2FD4"/>
    <w:rsid w:val="003E49F6"/>
    <w:rsid w:val="003F0841"/>
    <w:rsid w:val="003F1312"/>
    <w:rsid w:val="003F23D3"/>
    <w:rsid w:val="003F3F08"/>
    <w:rsid w:val="003F49F1"/>
    <w:rsid w:val="003F5372"/>
    <w:rsid w:val="003F57EC"/>
    <w:rsid w:val="003F6272"/>
    <w:rsid w:val="00400E72"/>
    <w:rsid w:val="0040126E"/>
    <w:rsid w:val="00401400"/>
    <w:rsid w:val="00404869"/>
    <w:rsid w:val="00404EB1"/>
    <w:rsid w:val="004054E6"/>
    <w:rsid w:val="00405884"/>
    <w:rsid w:val="00405E1D"/>
    <w:rsid w:val="00407D39"/>
    <w:rsid w:val="0041477A"/>
    <w:rsid w:val="00415FD1"/>
    <w:rsid w:val="004167A3"/>
    <w:rsid w:val="00416EE2"/>
    <w:rsid w:val="00430F80"/>
    <w:rsid w:val="0043133A"/>
    <w:rsid w:val="00432DAA"/>
    <w:rsid w:val="00434305"/>
    <w:rsid w:val="004347D3"/>
    <w:rsid w:val="00434B58"/>
    <w:rsid w:val="00435DF7"/>
    <w:rsid w:val="0044083F"/>
    <w:rsid w:val="00441AE7"/>
    <w:rsid w:val="00444F48"/>
    <w:rsid w:val="00445574"/>
    <w:rsid w:val="00445DED"/>
    <w:rsid w:val="004467FB"/>
    <w:rsid w:val="004473D7"/>
    <w:rsid w:val="00452A17"/>
    <w:rsid w:val="00452D6B"/>
    <w:rsid w:val="00454484"/>
    <w:rsid w:val="0045517B"/>
    <w:rsid w:val="0045735F"/>
    <w:rsid w:val="00463B77"/>
    <w:rsid w:val="00463C7B"/>
    <w:rsid w:val="004644A6"/>
    <w:rsid w:val="004658AA"/>
    <w:rsid w:val="004659BD"/>
    <w:rsid w:val="00467F77"/>
    <w:rsid w:val="00470775"/>
    <w:rsid w:val="00471BBE"/>
    <w:rsid w:val="004746B1"/>
    <w:rsid w:val="0047583F"/>
    <w:rsid w:val="00476819"/>
    <w:rsid w:val="004769DC"/>
    <w:rsid w:val="00481A00"/>
    <w:rsid w:val="00484936"/>
    <w:rsid w:val="00485C89"/>
    <w:rsid w:val="00486BE3"/>
    <w:rsid w:val="004870FD"/>
    <w:rsid w:val="004905E4"/>
    <w:rsid w:val="00490A89"/>
    <w:rsid w:val="00490AB4"/>
    <w:rsid w:val="00492F02"/>
    <w:rsid w:val="00492FBA"/>
    <w:rsid w:val="004939AE"/>
    <w:rsid w:val="004945F7"/>
    <w:rsid w:val="0049789C"/>
    <w:rsid w:val="004A0C03"/>
    <w:rsid w:val="004A12DF"/>
    <w:rsid w:val="004A1BA8"/>
    <w:rsid w:val="004A3F50"/>
    <w:rsid w:val="004A42F4"/>
    <w:rsid w:val="004A4B57"/>
    <w:rsid w:val="004A63FA"/>
    <w:rsid w:val="004B255B"/>
    <w:rsid w:val="004B2701"/>
    <w:rsid w:val="004B2E1B"/>
    <w:rsid w:val="004B30DF"/>
    <w:rsid w:val="004B3E93"/>
    <w:rsid w:val="004C1FBC"/>
    <w:rsid w:val="004C3F1D"/>
    <w:rsid w:val="004C458D"/>
    <w:rsid w:val="004C5935"/>
    <w:rsid w:val="004C7556"/>
    <w:rsid w:val="004C7E9D"/>
    <w:rsid w:val="004C7F67"/>
    <w:rsid w:val="004D076D"/>
    <w:rsid w:val="004D0EF1"/>
    <w:rsid w:val="004D215D"/>
    <w:rsid w:val="004D2253"/>
    <w:rsid w:val="004D2BEE"/>
    <w:rsid w:val="004D2C14"/>
    <w:rsid w:val="004D4406"/>
    <w:rsid w:val="004D7C42"/>
    <w:rsid w:val="004E0465"/>
    <w:rsid w:val="004E127B"/>
    <w:rsid w:val="004E1C0A"/>
    <w:rsid w:val="004E30C5"/>
    <w:rsid w:val="004E335C"/>
    <w:rsid w:val="004E4AA5"/>
    <w:rsid w:val="004E4AEE"/>
    <w:rsid w:val="004E59E3"/>
    <w:rsid w:val="004E67C0"/>
    <w:rsid w:val="004F391A"/>
    <w:rsid w:val="004F3CFB"/>
    <w:rsid w:val="004F6456"/>
    <w:rsid w:val="004F670A"/>
    <w:rsid w:val="004F696E"/>
    <w:rsid w:val="004F6C71"/>
    <w:rsid w:val="004F7785"/>
    <w:rsid w:val="004F7C8B"/>
    <w:rsid w:val="005002F1"/>
    <w:rsid w:val="00500C10"/>
    <w:rsid w:val="00501139"/>
    <w:rsid w:val="0050204B"/>
    <w:rsid w:val="0050363E"/>
    <w:rsid w:val="005039BC"/>
    <w:rsid w:val="005043BB"/>
    <w:rsid w:val="00504A3D"/>
    <w:rsid w:val="00505767"/>
    <w:rsid w:val="005073F0"/>
    <w:rsid w:val="00510A7B"/>
    <w:rsid w:val="00510E3C"/>
    <w:rsid w:val="00512F6E"/>
    <w:rsid w:val="00513038"/>
    <w:rsid w:val="00514174"/>
    <w:rsid w:val="00514DF9"/>
    <w:rsid w:val="00516088"/>
    <w:rsid w:val="005164BE"/>
    <w:rsid w:val="00516B0B"/>
    <w:rsid w:val="00520077"/>
    <w:rsid w:val="005220EC"/>
    <w:rsid w:val="0052398B"/>
    <w:rsid w:val="00523DEC"/>
    <w:rsid w:val="00523F95"/>
    <w:rsid w:val="00524D65"/>
    <w:rsid w:val="005258DF"/>
    <w:rsid w:val="00525B16"/>
    <w:rsid w:val="005311AA"/>
    <w:rsid w:val="005328E2"/>
    <w:rsid w:val="00532E7D"/>
    <w:rsid w:val="00533D04"/>
    <w:rsid w:val="00534804"/>
    <w:rsid w:val="00534BDF"/>
    <w:rsid w:val="005353F1"/>
    <w:rsid w:val="005354EA"/>
    <w:rsid w:val="00535EC4"/>
    <w:rsid w:val="00535ED9"/>
    <w:rsid w:val="0053692B"/>
    <w:rsid w:val="005405D5"/>
    <w:rsid w:val="00541853"/>
    <w:rsid w:val="00543BDA"/>
    <w:rsid w:val="005441CC"/>
    <w:rsid w:val="00546014"/>
    <w:rsid w:val="005479DA"/>
    <w:rsid w:val="00547BCC"/>
    <w:rsid w:val="0055013B"/>
    <w:rsid w:val="00550D91"/>
    <w:rsid w:val="00551F6F"/>
    <w:rsid w:val="00554077"/>
    <w:rsid w:val="00555044"/>
    <w:rsid w:val="00555B01"/>
    <w:rsid w:val="00561475"/>
    <w:rsid w:val="0056487B"/>
    <w:rsid w:val="00564FB9"/>
    <w:rsid w:val="005668FF"/>
    <w:rsid w:val="00573D9E"/>
    <w:rsid w:val="005801E3"/>
    <w:rsid w:val="00581802"/>
    <w:rsid w:val="005831FB"/>
    <w:rsid w:val="005836A8"/>
    <w:rsid w:val="005838CE"/>
    <w:rsid w:val="00584262"/>
    <w:rsid w:val="00586630"/>
    <w:rsid w:val="00586FE1"/>
    <w:rsid w:val="0058774C"/>
    <w:rsid w:val="00587ADD"/>
    <w:rsid w:val="00596160"/>
    <w:rsid w:val="005966E2"/>
    <w:rsid w:val="00597007"/>
    <w:rsid w:val="005A0966"/>
    <w:rsid w:val="005A0CE4"/>
    <w:rsid w:val="005A11B7"/>
    <w:rsid w:val="005A260B"/>
    <w:rsid w:val="005A2E2A"/>
    <w:rsid w:val="005A3FD5"/>
    <w:rsid w:val="005A4A1B"/>
    <w:rsid w:val="005A4A89"/>
    <w:rsid w:val="005A4DC2"/>
    <w:rsid w:val="005A7830"/>
    <w:rsid w:val="005A7FCE"/>
    <w:rsid w:val="005B0F3F"/>
    <w:rsid w:val="005B208A"/>
    <w:rsid w:val="005B4903"/>
    <w:rsid w:val="005B51CE"/>
    <w:rsid w:val="005B5885"/>
    <w:rsid w:val="005B5CD7"/>
    <w:rsid w:val="005B6CF6"/>
    <w:rsid w:val="005B7422"/>
    <w:rsid w:val="005C0FBC"/>
    <w:rsid w:val="005C1DB0"/>
    <w:rsid w:val="005C29B8"/>
    <w:rsid w:val="005C5F21"/>
    <w:rsid w:val="005C7156"/>
    <w:rsid w:val="005D0BCF"/>
    <w:rsid w:val="005D0C75"/>
    <w:rsid w:val="005D4171"/>
    <w:rsid w:val="005D446C"/>
    <w:rsid w:val="005D6A95"/>
    <w:rsid w:val="005D6B2C"/>
    <w:rsid w:val="005D6D9C"/>
    <w:rsid w:val="005D7C08"/>
    <w:rsid w:val="005E13EE"/>
    <w:rsid w:val="005E19C0"/>
    <w:rsid w:val="005E2335"/>
    <w:rsid w:val="005E34CA"/>
    <w:rsid w:val="005E3C18"/>
    <w:rsid w:val="005E7881"/>
    <w:rsid w:val="005E78E0"/>
    <w:rsid w:val="005F0B05"/>
    <w:rsid w:val="005F0D9C"/>
    <w:rsid w:val="005F19BA"/>
    <w:rsid w:val="005F284E"/>
    <w:rsid w:val="005F2B00"/>
    <w:rsid w:val="006002B2"/>
    <w:rsid w:val="00600659"/>
    <w:rsid w:val="006015CE"/>
    <w:rsid w:val="00604784"/>
    <w:rsid w:val="00605D4A"/>
    <w:rsid w:val="00606419"/>
    <w:rsid w:val="006069CE"/>
    <w:rsid w:val="00607D29"/>
    <w:rsid w:val="00611838"/>
    <w:rsid w:val="00612952"/>
    <w:rsid w:val="00614CC1"/>
    <w:rsid w:val="00615A9D"/>
    <w:rsid w:val="00615C46"/>
    <w:rsid w:val="00615C6B"/>
    <w:rsid w:val="00615CE0"/>
    <w:rsid w:val="006162BE"/>
    <w:rsid w:val="00616BBB"/>
    <w:rsid w:val="00617387"/>
    <w:rsid w:val="00620C19"/>
    <w:rsid w:val="006226EC"/>
    <w:rsid w:val="00623592"/>
    <w:rsid w:val="006252D8"/>
    <w:rsid w:val="006259BC"/>
    <w:rsid w:val="0062636B"/>
    <w:rsid w:val="00627F50"/>
    <w:rsid w:val="00632182"/>
    <w:rsid w:val="00632AE0"/>
    <w:rsid w:val="00633C17"/>
    <w:rsid w:val="00636E3E"/>
    <w:rsid w:val="006379F7"/>
    <w:rsid w:val="00637E4D"/>
    <w:rsid w:val="00640620"/>
    <w:rsid w:val="0064191B"/>
    <w:rsid w:val="00641A1F"/>
    <w:rsid w:val="00645204"/>
    <w:rsid w:val="00645904"/>
    <w:rsid w:val="006466C2"/>
    <w:rsid w:val="00651ACB"/>
    <w:rsid w:val="00651C47"/>
    <w:rsid w:val="00651F9F"/>
    <w:rsid w:val="00652AB2"/>
    <w:rsid w:val="00654EC0"/>
    <w:rsid w:val="0065525B"/>
    <w:rsid w:val="00655D4F"/>
    <w:rsid w:val="006576D4"/>
    <w:rsid w:val="00657D91"/>
    <w:rsid w:val="006635CB"/>
    <w:rsid w:val="006640E5"/>
    <w:rsid w:val="006646F1"/>
    <w:rsid w:val="00664929"/>
    <w:rsid w:val="00664F62"/>
    <w:rsid w:val="006655E1"/>
    <w:rsid w:val="00665E3E"/>
    <w:rsid w:val="00672060"/>
    <w:rsid w:val="00672888"/>
    <w:rsid w:val="00672BFD"/>
    <w:rsid w:val="00676DA4"/>
    <w:rsid w:val="006770F4"/>
    <w:rsid w:val="00677A84"/>
    <w:rsid w:val="0068026D"/>
    <w:rsid w:val="00680A27"/>
    <w:rsid w:val="006816A4"/>
    <w:rsid w:val="006819B8"/>
    <w:rsid w:val="006835D7"/>
    <w:rsid w:val="006840A6"/>
    <w:rsid w:val="006850CD"/>
    <w:rsid w:val="00685AAB"/>
    <w:rsid w:val="00694925"/>
    <w:rsid w:val="00696CAB"/>
    <w:rsid w:val="006A07AA"/>
    <w:rsid w:val="006A25E5"/>
    <w:rsid w:val="006A2B46"/>
    <w:rsid w:val="006A336D"/>
    <w:rsid w:val="006A3554"/>
    <w:rsid w:val="006A37B9"/>
    <w:rsid w:val="006A7678"/>
    <w:rsid w:val="006B2672"/>
    <w:rsid w:val="006B38DC"/>
    <w:rsid w:val="006B54BF"/>
    <w:rsid w:val="006B5F44"/>
    <w:rsid w:val="006B5F90"/>
    <w:rsid w:val="006B62E4"/>
    <w:rsid w:val="006C0DE4"/>
    <w:rsid w:val="006C1BBA"/>
    <w:rsid w:val="006C2079"/>
    <w:rsid w:val="006C5654"/>
    <w:rsid w:val="006C5A62"/>
    <w:rsid w:val="006C5D68"/>
    <w:rsid w:val="006C6976"/>
    <w:rsid w:val="006C6BA6"/>
    <w:rsid w:val="006C6DD0"/>
    <w:rsid w:val="006D04EA"/>
    <w:rsid w:val="006D14E6"/>
    <w:rsid w:val="006D16C4"/>
    <w:rsid w:val="006D3E96"/>
    <w:rsid w:val="006D4515"/>
    <w:rsid w:val="006D4BB1"/>
    <w:rsid w:val="006D5363"/>
    <w:rsid w:val="006D6593"/>
    <w:rsid w:val="006E0ACC"/>
    <w:rsid w:val="006F03A8"/>
    <w:rsid w:val="006F1100"/>
    <w:rsid w:val="006F2ACA"/>
    <w:rsid w:val="006F2ADC"/>
    <w:rsid w:val="006F2BFE"/>
    <w:rsid w:val="006F31E9"/>
    <w:rsid w:val="006F6284"/>
    <w:rsid w:val="007002C5"/>
    <w:rsid w:val="00702EA3"/>
    <w:rsid w:val="00704387"/>
    <w:rsid w:val="007044FA"/>
    <w:rsid w:val="00707669"/>
    <w:rsid w:val="00711BCA"/>
    <w:rsid w:val="00711CBA"/>
    <w:rsid w:val="00711FB5"/>
    <w:rsid w:val="00712A01"/>
    <w:rsid w:val="00714F58"/>
    <w:rsid w:val="0071669E"/>
    <w:rsid w:val="007168A5"/>
    <w:rsid w:val="00722AAF"/>
    <w:rsid w:val="00722FBF"/>
    <w:rsid w:val="00722FC2"/>
    <w:rsid w:val="007242EA"/>
    <w:rsid w:val="0072542E"/>
    <w:rsid w:val="00725949"/>
    <w:rsid w:val="00726EBE"/>
    <w:rsid w:val="0072721D"/>
    <w:rsid w:val="00727FA2"/>
    <w:rsid w:val="0073013B"/>
    <w:rsid w:val="007322D9"/>
    <w:rsid w:val="00732BC0"/>
    <w:rsid w:val="0073720F"/>
    <w:rsid w:val="00737796"/>
    <w:rsid w:val="0074165C"/>
    <w:rsid w:val="007432CA"/>
    <w:rsid w:val="007439EB"/>
    <w:rsid w:val="00743CB4"/>
    <w:rsid w:val="00743F0A"/>
    <w:rsid w:val="007444E8"/>
    <w:rsid w:val="0074548E"/>
    <w:rsid w:val="00745773"/>
    <w:rsid w:val="00746800"/>
    <w:rsid w:val="007500E6"/>
    <w:rsid w:val="007501A8"/>
    <w:rsid w:val="00750EE1"/>
    <w:rsid w:val="00752B4D"/>
    <w:rsid w:val="00755402"/>
    <w:rsid w:val="00755D7B"/>
    <w:rsid w:val="00756B26"/>
    <w:rsid w:val="00756EBF"/>
    <w:rsid w:val="00756EDF"/>
    <w:rsid w:val="00757743"/>
    <w:rsid w:val="007609A2"/>
    <w:rsid w:val="00764244"/>
    <w:rsid w:val="00765C43"/>
    <w:rsid w:val="00765EFB"/>
    <w:rsid w:val="00766B5A"/>
    <w:rsid w:val="007671CA"/>
    <w:rsid w:val="00767C61"/>
    <w:rsid w:val="0077008A"/>
    <w:rsid w:val="00773C1F"/>
    <w:rsid w:val="00774DA4"/>
    <w:rsid w:val="00776599"/>
    <w:rsid w:val="0078114B"/>
    <w:rsid w:val="00781DD2"/>
    <w:rsid w:val="00783ECF"/>
    <w:rsid w:val="0078413A"/>
    <w:rsid w:val="00794504"/>
    <w:rsid w:val="007959E8"/>
    <w:rsid w:val="00795E9C"/>
    <w:rsid w:val="00797D22"/>
    <w:rsid w:val="007A0521"/>
    <w:rsid w:val="007A1DEA"/>
    <w:rsid w:val="007A2E12"/>
    <w:rsid w:val="007A3475"/>
    <w:rsid w:val="007A41C8"/>
    <w:rsid w:val="007A54CE"/>
    <w:rsid w:val="007A57F9"/>
    <w:rsid w:val="007A7FFA"/>
    <w:rsid w:val="007B04EB"/>
    <w:rsid w:val="007B0D4F"/>
    <w:rsid w:val="007B23C8"/>
    <w:rsid w:val="007B3EA4"/>
    <w:rsid w:val="007B4476"/>
    <w:rsid w:val="007B5A3D"/>
    <w:rsid w:val="007B5B95"/>
    <w:rsid w:val="007B68EA"/>
    <w:rsid w:val="007C0F98"/>
    <w:rsid w:val="007C19E8"/>
    <w:rsid w:val="007C2D89"/>
    <w:rsid w:val="007C4593"/>
    <w:rsid w:val="007C5309"/>
    <w:rsid w:val="007C6069"/>
    <w:rsid w:val="007D06C4"/>
    <w:rsid w:val="007D1352"/>
    <w:rsid w:val="007D2508"/>
    <w:rsid w:val="007D257E"/>
    <w:rsid w:val="007D2860"/>
    <w:rsid w:val="007D346A"/>
    <w:rsid w:val="007D6518"/>
    <w:rsid w:val="007D76BD"/>
    <w:rsid w:val="007E0BF1"/>
    <w:rsid w:val="007E2112"/>
    <w:rsid w:val="007E2EAF"/>
    <w:rsid w:val="007E5FE9"/>
    <w:rsid w:val="007F0ED8"/>
    <w:rsid w:val="007F0F63"/>
    <w:rsid w:val="007F75CE"/>
    <w:rsid w:val="008013A4"/>
    <w:rsid w:val="00801D15"/>
    <w:rsid w:val="008025A9"/>
    <w:rsid w:val="008027CE"/>
    <w:rsid w:val="00802D63"/>
    <w:rsid w:val="00802F0A"/>
    <w:rsid w:val="00802F42"/>
    <w:rsid w:val="00804383"/>
    <w:rsid w:val="00804BB7"/>
    <w:rsid w:val="00805A08"/>
    <w:rsid w:val="00807B74"/>
    <w:rsid w:val="00810257"/>
    <w:rsid w:val="008104F5"/>
    <w:rsid w:val="00810AA9"/>
    <w:rsid w:val="00811072"/>
    <w:rsid w:val="00811369"/>
    <w:rsid w:val="008129DA"/>
    <w:rsid w:val="00814E50"/>
    <w:rsid w:val="00815419"/>
    <w:rsid w:val="008163C8"/>
    <w:rsid w:val="00817325"/>
    <w:rsid w:val="008208C3"/>
    <w:rsid w:val="008209E6"/>
    <w:rsid w:val="00820AD5"/>
    <w:rsid w:val="00823303"/>
    <w:rsid w:val="008233B2"/>
    <w:rsid w:val="0082377D"/>
    <w:rsid w:val="00823A9F"/>
    <w:rsid w:val="00823C85"/>
    <w:rsid w:val="00825138"/>
    <w:rsid w:val="008269DD"/>
    <w:rsid w:val="008304F7"/>
    <w:rsid w:val="00830621"/>
    <w:rsid w:val="0083348C"/>
    <w:rsid w:val="008373D3"/>
    <w:rsid w:val="00840617"/>
    <w:rsid w:val="008422E3"/>
    <w:rsid w:val="0084277B"/>
    <w:rsid w:val="00842A47"/>
    <w:rsid w:val="00843A16"/>
    <w:rsid w:val="00843C13"/>
    <w:rsid w:val="008454F8"/>
    <w:rsid w:val="00847FBB"/>
    <w:rsid w:val="00850A0C"/>
    <w:rsid w:val="00850DA7"/>
    <w:rsid w:val="0085173A"/>
    <w:rsid w:val="0085211E"/>
    <w:rsid w:val="00855E89"/>
    <w:rsid w:val="008603CE"/>
    <w:rsid w:val="008620FC"/>
    <w:rsid w:val="008627A5"/>
    <w:rsid w:val="00863E05"/>
    <w:rsid w:val="00865ACA"/>
    <w:rsid w:val="00865D28"/>
    <w:rsid w:val="00865F85"/>
    <w:rsid w:val="00867C10"/>
    <w:rsid w:val="00870439"/>
    <w:rsid w:val="00870BB5"/>
    <w:rsid w:val="00870DA1"/>
    <w:rsid w:val="0087176E"/>
    <w:rsid w:val="008734C9"/>
    <w:rsid w:val="00883F93"/>
    <w:rsid w:val="00884DB3"/>
    <w:rsid w:val="00885A9D"/>
    <w:rsid w:val="008864F6"/>
    <w:rsid w:val="0089049D"/>
    <w:rsid w:val="00891E87"/>
    <w:rsid w:val="00892589"/>
    <w:rsid w:val="008926D4"/>
    <w:rsid w:val="008928C9"/>
    <w:rsid w:val="008938DC"/>
    <w:rsid w:val="00893D07"/>
    <w:rsid w:val="00893FD1"/>
    <w:rsid w:val="00894836"/>
    <w:rsid w:val="00895172"/>
    <w:rsid w:val="00895680"/>
    <w:rsid w:val="00896DFF"/>
    <w:rsid w:val="0089737A"/>
    <w:rsid w:val="0089762C"/>
    <w:rsid w:val="008A133F"/>
    <w:rsid w:val="008A1893"/>
    <w:rsid w:val="008A2AC0"/>
    <w:rsid w:val="008A538C"/>
    <w:rsid w:val="008A6900"/>
    <w:rsid w:val="008A769A"/>
    <w:rsid w:val="008B0C9C"/>
    <w:rsid w:val="008B166D"/>
    <w:rsid w:val="008B17F4"/>
    <w:rsid w:val="008B25C0"/>
    <w:rsid w:val="008B3615"/>
    <w:rsid w:val="008B4AC4"/>
    <w:rsid w:val="008B50C8"/>
    <w:rsid w:val="008B5281"/>
    <w:rsid w:val="008B7E05"/>
    <w:rsid w:val="008C0F5C"/>
    <w:rsid w:val="008C1797"/>
    <w:rsid w:val="008C219C"/>
    <w:rsid w:val="008C475E"/>
    <w:rsid w:val="008C619A"/>
    <w:rsid w:val="008C6D71"/>
    <w:rsid w:val="008C6ED9"/>
    <w:rsid w:val="008C73EE"/>
    <w:rsid w:val="008D00AB"/>
    <w:rsid w:val="008D0CE8"/>
    <w:rsid w:val="008D178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576"/>
    <w:rsid w:val="008F17A3"/>
    <w:rsid w:val="008F1ED3"/>
    <w:rsid w:val="008F434D"/>
    <w:rsid w:val="008F4C29"/>
    <w:rsid w:val="008F4F4D"/>
    <w:rsid w:val="008F70BD"/>
    <w:rsid w:val="008F788F"/>
    <w:rsid w:val="008F7EA2"/>
    <w:rsid w:val="00902722"/>
    <w:rsid w:val="009027BC"/>
    <w:rsid w:val="0090316F"/>
    <w:rsid w:val="00903D0F"/>
    <w:rsid w:val="00903F9E"/>
    <w:rsid w:val="009062E6"/>
    <w:rsid w:val="00906C26"/>
    <w:rsid w:val="00911855"/>
    <w:rsid w:val="00911BE5"/>
    <w:rsid w:val="00913CA9"/>
    <w:rsid w:val="00913D77"/>
    <w:rsid w:val="009145AE"/>
    <w:rsid w:val="009146CE"/>
    <w:rsid w:val="00914CA7"/>
    <w:rsid w:val="00915C3E"/>
    <w:rsid w:val="009161A8"/>
    <w:rsid w:val="0091673D"/>
    <w:rsid w:val="00920D64"/>
    <w:rsid w:val="00921B3D"/>
    <w:rsid w:val="00924160"/>
    <w:rsid w:val="009245F5"/>
    <w:rsid w:val="009249EC"/>
    <w:rsid w:val="009273B3"/>
    <w:rsid w:val="00927A96"/>
    <w:rsid w:val="009305B5"/>
    <w:rsid w:val="009330F7"/>
    <w:rsid w:val="0093369D"/>
    <w:rsid w:val="00934C12"/>
    <w:rsid w:val="009429D5"/>
    <w:rsid w:val="00942BF1"/>
    <w:rsid w:val="009434E1"/>
    <w:rsid w:val="00945180"/>
    <w:rsid w:val="00945200"/>
    <w:rsid w:val="00945428"/>
    <w:rsid w:val="0094607B"/>
    <w:rsid w:val="00946DAC"/>
    <w:rsid w:val="0094748E"/>
    <w:rsid w:val="009504C7"/>
    <w:rsid w:val="00953604"/>
    <w:rsid w:val="0095662B"/>
    <w:rsid w:val="009610DC"/>
    <w:rsid w:val="00961490"/>
    <w:rsid w:val="00963112"/>
    <w:rsid w:val="0096381A"/>
    <w:rsid w:val="00965E04"/>
    <w:rsid w:val="00966784"/>
    <w:rsid w:val="0096694B"/>
    <w:rsid w:val="009674AD"/>
    <w:rsid w:val="0096775F"/>
    <w:rsid w:val="0097094E"/>
    <w:rsid w:val="00970CDC"/>
    <w:rsid w:val="009745E3"/>
    <w:rsid w:val="00977010"/>
    <w:rsid w:val="00977D02"/>
    <w:rsid w:val="009809BB"/>
    <w:rsid w:val="00982AE5"/>
    <w:rsid w:val="00982D22"/>
    <w:rsid w:val="0098364B"/>
    <w:rsid w:val="00983BF9"/>
    <w:rsid w:val="009843F4"/>
    <w:rsid w:val="009855D6"/>
    <w:rsid w:val="0099024C"/>
    <w:rsid w:val="00991153"/>
    <w:rsid w:val="009911AF"/>
    <w:rsid w:val="00991875"/>
    <w:rsid w:val="00991F92"/>
    <w:rsid w:val="00992985"/>
    <w:rsid w:val="00993889"/>
    <w:rsid w:val="00993CEB"/>
    <w:rsid w:val="009948C6"/>
    <w:rsid w:val="00994F78"/>
    <w:rsid w:val="0099551B"/>
    <w:rsid w:val="0099741B"/>
    <w:rsid w:val="00997BF1"/>
    <w:rsid w:val="009A089C"/>
    <w:rsid w:val="009A118E"/>
    <w:rsid w:val="009A14F7"/>
    <w:rsid w:val="009A21CD"/>
    <w:rsid w:val="009A278C"/>
    <w:rsid w:val="009A2BC2"/>
    <w:rsid w:val="009A3EEC"/>
    <w:rsid w:val="009A42C1"/>
    <w:rsid w:val="009A5429"/>
    <w:rsid w:val="009A5D2F"/>
    <w:rsid w:val="009A72AD"/>
    <w:rsid w:val="009B09E0"/>
    <w:rsid w:val="009B0BC5"/>
    <w:rsid w:val="009B1247"/>
    <w:rsid w:val="009B3F24"/>
    <w:rsid w:val="009B4148"/>
    <w:rsid w:val="009B6029"/>
    <w:rsid w:val="009B6971"/>
    <w:rsid w:val="009B7F7F"/>
    <w:rsid w:val="009C27F1"/>
    <w:rsid w:val="009C3152"/>
    <w:rsid w:val="009C4CFA"/>
    <w:rsid w:val="009C5070"/>
    <w:rsid w:val="009C6460"/>
    <w:rsid w:val="009D112C"/>
    <w:rsid w:val="009D3E06"/>
    <w:rsid w:val="009D47FA"/>
    <w:rsid w:val="009D49D7"/>
    <w:rsid w:val="009D50D2"/>
    <w:rsid w:val="009D6164"/>
    <w:rsid w:val="009D6BCA"/>
    <w:rsid w:val="009D74B6"/>
    <w:rsid w:val="009E0F62"/>
    <w:rsid w:val="009E20D5"/>
    <w:rsid w:val="009E4A58"/>
    <w:rsid w:val="009E5A2D"/>
    <w:rsid w:val="009E5AB2"/>
    <w:rsid w:val="009E6219"/>
    <w:rsid w:val="009E65E0"/>
    <w:rsid w:val="009E6A41"/>
    <w:rsid w:val="009E7C1A"/>
    <w:rsid w:val="009F03B3"/>
    <w:rsid w:val="009F7F63"/>
    <w:rsid w:val="00A01757"/>
    <w:rsid w:val="00A01BF1"/>
    <w:rsid w:val="00A028C0"/>
    <w:rsid w:val="00A02BAE"/>
    <w:rsid w:val="00A046E3"/>
    <w:rsid w:val="00A06A6B"/>
    <w:rsid w:val="00A07E47"/>
    <w:rsid w:val="00A126C8"/>
    <w:rsid w:val="00A1297D"/>
    <w:rsid w:val="00A129D0"/>
    <w:rsid w:val="00A12C33"/>
    <w:rsid w:val="00A134AD"/>
    <w:rsid w:val="00A138BA"/>
    <w:rsid w:val="00A14C8E"/>
    <w:rsid w:val="00A153D9"/>
    <w:rsid w:val="00A1586C"/>
    <w:rsid w:val="00A15F09"/>
    <w:rsid w:val="00A169B6"/>
    <w:rsid w:val="00A2271D"/>
    <w:rsid w:val="00A236E5"/>
    <w:rsid w:val="00A237D5"/>
    <w:rsid w:val="00A24E09"/>
    <w:rsid w:val="00A270AE"/>
    <w:rsid w:val="00A30EFC"/>
    <w:rsid w:val="00A31984"/>
    <w:rsid w:val="00A32053"/>
    <w:rsid w:val="00A32D73"/>
    <w:rsid w:val="00A32ECE"/>
    <w:rsid w:val="00A3367B"/>
    <w:rsid w:val="00A34024"/>
    <w:rsid w:val="00A3597D"/>
    <w:rsid w:val="00A35D9E"/>
    <w:rsid w:val="00A40091"/>
    <w:rsid w:val="00A4030F"/>
    <w:rsid w:val="00A41C79"/>
    <w:rsid w:val="00A41CB5"/>
    <w:rsid w:val="00A42960"/>
    <w:rsid w:val="00A42CDF"/>
    <w:rsid w:val="00A4452E"/>
    <w:rsid w:val="00A4472C"/>
    <w:rsid w:val="00A44E69"/>
    <w:rsid w:val="00A4603C"/>
    <w:rsid w:val="00A4661E"/>
    <w:rsid w:val="00A53FA2"/>
    <w:rsid w:val="00A54108"/>
    <w:rsid w:val="00A541F4"/>
    <w:rsid w:val="00A54C0C"/>
    <w:rsid w:val="00A54DC4"/>
    <w:rsid w:val="00A55BD6"/>
    <w:rsid w:val="00A55D50"/>
    <w:rsid w:val="00A563C8"/>
    <w:rsid w:val="00A57142"/>
    <w:rsid w:val="00A630B3"/>
    <w:rsid w:val="00A64329"/>
    <w:rsid w:val="00A648CD"/>
    <w:rsid w:val="00A6537A"/>
    <w:rsid w:val="00A67866"/>
    <w:rsid w:val="00A70B07"/>
    <w:rsid w:val="00A70FCB"/>
    <w:rsid w:val="00A723F8"/>
    <w:rsid w:val="00A77CCB"/>
    <w:rsid w:val="00A83D8D"/>
    <w:rsid w:val="00A8446B"/>
    <w:rsid w:val="00A8473F"/>
    <w:rsid w:val="00A8536F"/>
    <w:rsid w:val="00A85E06"/>
    <w:rsid w:val="00A862D6"/>
    <w:rsid w:val="00A8715E"/>
    <w:rsid w:val="00A874DD"/>
    <w:rsid w:val="00A91295"/>
    <w:rsid w:val="00A9295B"/>
    <w:rsid w:val="00A93B09"/>
    <w:rsid w:val="00A94271"/>
    <w:rsid w:val="00A952D7"/>
    <w:rsid w:val="00A95EC9"/>
    <w:rsid w:val="00A963F7"/>
    <w:rsid w:val="00A96AD8"/>
    <w:rsid w:val="00A97FCC"/>
    <w:rsid w:val="00AA00EA"/>
    <w:rsid w:val="00AA052C"/>
    <w:rsid w:val="00AA1E45"/>
    <w:rsid w:val="00AA2A24"/>
    <w:rsid w:val="00AA4286"/>
    <w:rsid w:val="00AA456B"/>
    <w:rsid w:val="00AA57F5"/>
    <w:rsid w:val="00AA5C7F"/>
    <w:rsid w:val="00AA5DC5"/>
    <w:rsid w:val="00AA672E"/>
    <w:rsid w:val="00AA6EC9"/>
    <w:rsid w:val="00AB1899"/>
    <w:rsid w:val="00AB6309"/>
    <w:rsid w:val="00AB6C5F"/>
    <w:rsid w:val="00AB7129"/>
    <w:rsid w:val="00AC27A6"/>
    <w:rsid w:val="00AC30F7"/>
    <w:rsid w:val="00AC3A5A"/>
    <w:rsid w:val="00AC4D95"/>
    <w:rsid w:val="00AC5A97"/>
    <w:rsid w:val="00AC5DF4"/>
    <w:rsid w:val="00AC751D"/>
    <w:rsid w:val="00AD0AEF"/>
    <w:rsid w:val="00AD11B7"/>
    <w:rsid w:val="00AD1A94"/>
    <w:rsid w:val="00AD1C05"/>
    <w:rsid w:val="00AD2278"/>
    <w:rsid w:val="00AD3367"/>
    <w:rsid w:val="00AD3703"/>
    <w:rsid w:val="00AD4126"/>
    <w:rsid w:val="00AD421C"/>
    <w:rsid w:val="00AD44FA"/>
    <w:rsid w:val="00AD79EA"/>
    <w:rsid w:val="00AE01E5"/>
    <w:rsid w:val="00AE070A"/>
    <w:rsid w:val="00AE0C4D"/>
    <w:rsid w:val="00AE101C"/>
    <w:rsid w:val="00AE1BDB"/>
    <w:rsid w:val="00AE22ED"/>
    <w:rsid w:val="00AE579C"/>
    <w:rsid w:val="00AF0C18"/>
    <w:rsid w:val="00AF0DB5"/>
    <w:rsid w:val="00AF43B3"/>
    <w:rsid w:val="00AF47C5"/>
    <w:rsid w:val="00AF5398"/>
    <w:rsid w:val="00B00514"/>
    <w:rsid w:val="00B02B05"/>
    <w:rsid w:val="00B049AF"/>
    <w:rsid w:val="00B051E7"/>
    <w:rsid w:val="00B07242"/>
    <w:rsid w:val="00B10070"/>
    <w:rsid w:val="00B10534"/>
    <w:rsid w:val="00B113DB"/>
    <w:rsid w:val="00B11D8A"/>
    <w:rsid w:val="00B12981"/>
    <w:rsid w:val="00B147DD"/>
    <w:rsid w:val="00B156FD"/>
    <w:rsid w:val="00B20E1C"/>
    <w:rsid w:val="00B21F61"/>
    <w:rsid w:val="00B23045"/>
    <w:rsid w:val="00B23319"/>
    <w:rsid w:val="00B261F1"/>
    <w:rsid w:val="00B265BC"/>
    <w:rsid w:val="00B27F00"/>
    <w:rsid w:val="00B31FB1"/>
    <w:rsid w:val="00B32648"/>
    <w:rsid w:val="00B333E2"/>
    <w:rsid w:val="00B334B3"/>
    <w:rsid w:val="00B338BD"/>
    <w:rsid w:val="00B33952"/>
    <w:rsid w:val="00B33C5E"/>
    <w:rsid w:val="00B342F4"/>
    <w:rsid w:val="00B34369"/>
    <w:rsid w:val="00B34DC2"/>
    <w:rsid w:val="00B378E5"/>
    <w:rsid w:val="00B4045E"/>
    <w:rsid w:val="00B4346D"/>
    <w:rsid w:val="00B440F4"/>
    <w:rsid w:val="00B44596"/>
    <w:rsid w:val="00B447A5"/>
    <w:rsid w:val="00B4654C"/>
    <w:rsid w:val="00B468FB"/>
    <w:rsid w:val="00B47293"/>
    <w:rsid w:val="00B52120"/>
    <w:rsid w:val="00B53A4C"/>
    <w:rsid w:val="00B53C7D"/>
    <w:rsid w:val="00B54ABC"/>
    <w:rsid w:val="00B56FBE"/>
    <w:rsid w:val="00B60634"/>
    <w:rsid w:val="00B62B58"/>
    <w:rsid w:val="00B65149"/>
    <w:rsid w:val="00B66567"/>
    <w:rsid w:val="00B66F52"/>
    <w:rsid w:val="00B66FE5"/>
    <w:rsid w:val="00B67182"/>
    <w:rsid w:val="00B72880"/>
    <w:rsid w:val="00B72D54"/>
    <w:rsid w:val="00B758BF"/>
    <w:rsid w:val="00B77430"/>
    <w:rsid w:val="00B827A6"/>
    <w:rsid w:val="00B831CE"/>
    <w:rsid w:val="00B86677"/>
    <w:rsid w:val="00B87131"/>
    <w:rsid w:val="00B91566"/>
    <w:rsid w:val="00B939B1"/>
    <w:rsid w:val="00B96D40"/>
    <w:rsid w:val="00B97386"/>
    <w:rsid w:val="00BA263B"/>
    <w:rsid w:val="00BA42B2"/>
    <w:rsid w:val="00BA474D"/>
    <w:rsid w:val="00BA58D4"/>
    <w:rsid w:val="00BA5B9E"/>
    <w:rsid w:val="00BA65CC"/>
    <w:rsid w:val="00BA7C9A"/>
    <w:rsid w:val="00BB09B5"/>
    <w:rsid w:val="00BB0A5D"/>
    <w:rsid w:val="00BB3214"/>
    <w:rsid w:val="00BB5F8F"/>
    <w:rsid w:val="00BB657A"/>
    <w:rsid w:val="00BB717C"/>
    <w:rsid w:val="00BC0014"/>
    <w:rsid w:val="00BC1A4E"/>
    <w:rsid w:val="00BC5940"/>
    <w:rsid w:val="00BC5DC7"/>
    <w:rsid w:val="00BC67F2"/>
    <w:rsid w:val="00BC6B8B"/>
    <w:rsid w:val="00BC73D8"/>
    <w:rsid w:val="00BD4421"/>
    <w:rsid w:val="00BD52D7"/>
    <w:rsid w:val="00BD5AD2"/>
    <w:rsid w:val="00BD6082"/>
    <w:rsid w:val="00BD6F23"/>
    <w:rsid w:val="00BE22F3"/>
    <w:rsid w:val="00BE464A"/>
    <w:rsid w:val="00BE4CF4"/>
    <w:rsid w:val="00BE59D3"/>
    <w:rsid w:val="00BE5B52"/>
    <w:rsid w:val="00BE7B8D"/>
    <w:rsid w:val="00BF0993"/>
    <w:rsid w:val="00BF10A9"/>
    <w:rsid w:val="00BF1703"/>
    <w:rsid w:val="00BF231C"/>
    <w:rsid w:val="00BF49FA"/>
    <w:rsid w:val="00BF5094"/>
    <w:rsid w:val="00BF51E5"/>
    <w:rsid w:val="00BF74A6"/>
    <w:rsid w:val="00C013AD"/>
    <w:rsid w:val="00C044B7"/>
    <w:rsid w:val="00C04904"/>
    <w:rsid w:val="00C056B3"/>
    <w:rsid w:val="00C103E5"/>
    <w:rsid w:val="00C12D39"/>
    <w:rsid w:val="00C13319"/>
    <w:rsid w:val="00C13EE9"/>
    <w:rsid w:val="00C14D87"/>
    <w:rsid w:val="00C16231"/>
    <w:rsid w:val="00C21540"/>
    <w:rsid w:val="00C21906"/>
    <w:rsid w:val="00C21BFA"/>
    <w:rsid w:val="00C24C8D"/>
    <w:rsid w:val="00C25B52"/>
    <w:rsid w:val="00C25FE2"/>
    <w:rsid w:val="00C26B53"/>
    <w:rsid w:val="00C279B2"/>
    <w:rsid w:val="00C33E50"/>
    <w:rsid w:val="00C34C20"/>
    <w:rsid w:val="00C35A3E"/>
    <w:rsid w:val="00C42130"/>
    <w:rsid w:val="00C423A4"/>
    <w:rsid w:val="00C42661"/>
    <w:rsid w:val="00C44BF5"/>
    <w:rsid w:val="00C44C42"/>
    <w:rsid w:val="00C45D85"/>
    <w:rsid w:val="00C461D9"/>
    <w:rsid w:val="00C47669"/>
    <w:rsid w:val="00C5060A"/>
    <w:rsid w:val="00C55232"/>
    <w:rsid w:val="00C553A4"/>
    <w:rsid w:val="00C55A06"/>
    <w:rsid w:val="00C55D03"/>
    <w:rsid w:val="00C5627F"/>
    <w:rsid w:val="00C601BC"/>
    <w:rsid w:val="00C6329F"/>
    <w:rsid w:val="00C63340"/>
    <w:rsid w:val="00C63A53"/>
    <w:rsid w:val="00C643F9"/>
    <w:rsid w:val="00C64E95"/>
    <w:rsid w:val="00C70737"/>
    <w:rsid w:val="00C71372"/>
    <w:rsid w:val="00C719C3"/>
    <w:rsid w:val="00C72410"/>
    <w:rsid w:val="00C7287F"/>
    <w:rsid w:val="00C72F0E"/>
    <w:rsid w:val="00C77021"/>
    <w:rsid w:val="00C77E7D"/>
    <w:rsid w:val="00C80CB8"/>
    <w:rsid w:val="00C817A7"/>
    <w:rsid w:val="00C819F8"/>
    <w:rsid w:val="00C8248C"/>
    <w:rsid w:val="00C8276D"/>
    <w:rsid w:val="00C84E33"/>
    <w:rsid w:val="00C86D6F"/>
    <w:rsid w:val="00C905FC"/>
    <w:rsid w:val="00C92D03"/>
    <w:rsid w:val="00C9319C"/>
    <w:rsid w:val="00C9435D"/>
    <w:rsid w:val="00C9517F"/>
    <w:rsid w:val="00C96741"/>
    <w:rsid w:val="00C97F53"/>
    <w:rsid w:val="00CA2D1B"/>
    <w:rsid w:val="00CA57F1"/>
    <w:rsid w:val="00CA662A"/>
    <w:rsid w:val="00CA6AB5"/>
    <w:rsid w:val="00CA6E8A"/>
    <w:rsid w:val="00CA7AFD"/>
    <w:rsid w:val="00CA7C3C"/>
    <w:rsid w:val="00CB0189"/>
    <w:rsid w:val="00CB03D8"/>
    <w:rsid w:val="00CB0BA2"/>
    <w:rsid w:val="00CB1A42"/>
    <w:rsid w:val="00CB1B0C"/>
    <w:rsid w:val="00CB2C0B"/>
    <w:rsid w:val="00CB4CA0"/>
    <w:rsid w:val="00CB517D"/>
    <w:rsid w:val="00CC038D"/>
    <w:rsid w:val="00CC1E40"/>
    <w:rsid w:val="00CC39FF"/>
    <w:rsid w:val="00CC3C2F"/>
    <w:rsid w:val="00CC4AC8"/>
    <w:rsid w:val="00CC5233"/>
    <w:rsid w:val="00CC5DE6"/>
    <w:rsid w:val="00CC6E4E"/>
    <w:rsid w:val="00CC6F8E"/>
    <w:rsid w:val="00CC6FE8"/>
    <w:rsid w:val="00CC7202"/>
    <w:rsid w:val="00CD2808"/>
    <w:rsid w:val="00CD28BF"/>
    <w:rsid w:val="00CD3D58"/>
    <w:rsid w:val="00CD4092"/>
    <w:rsid w:val="00CD4A20"/>
    <w:rsid w:val="00CD50A1"/>
    <w:rsid w:val="00CD519E"/>
    <w:rsid w:val="00CE0C4F"/>
    <w:rsid w:val="00CE30EA"/>
    <w:rsid w:val="00CE7ACA"/>
    <w:rsid w:val="00CF02E1"/>
    <w:rsid w:val="00CF048A"/>
    <w:rsid w:val="00CF155A"/>
    <w:rsid w:val="00CF2947"/>
    <w:rsid w:val="00CF686F"/>
    <w:rsid w:val="00CF6E60"/>
    <w:rsid w:val="00CF721F"/>
    <w:rsid w:val="00CF739F"/>
    <w:rsid w:val="00CF7BCA"/>
    <w:rsid w:val="00D008FD"/>
    <w:rsid w:val="00D0321C"/>
    <w:rsid w:val="00D035EC"/>
    <w:rsid w:val="00D06AB1"/>
    <w:rsid w:val="00D072ED"/>
    <w:rsid w:val="00D07A16"/>
    <w:rsid w:val="00D07F7F"/>
    <w:rsid w:val="00D1067E"/>
    <w:rsid w:val="00D10F50"/>
    <w:rsid w:val="00D11272"/>
    <w:rsid w:val="00D126F5"/>
    <w:rsid w:val="00D1489E"/>
    <w:rsid w:val="00D148FA"/>
    <w:rsid w:val="00D14BFA"/>
    <w:rsid w:val="00D20737"/>
    <w:rsid w:val="00D21E81"/>
    <w:rsid w:val="00D223DE"/>
    <w:rsid w:val="00D23DDE"/>
    <w:rsid w:val="00D25E37"/>
    <w:rsid w:val="00D2661A"/>
    <w:rsid w:val="00D27015"/>
    <w:rsid w:val="00D27582"/>
    <w:rsid w:val="00D3267C"/>
    <w:rsid w:val="00D32719"/>
    <w:rsid w:val="00D332E3"/>
    <w:rsid w:val="00D33333"/>
    <w:rsid w:val="00D34EA7"/>
    <w:rsid w:val="00D352A2"/>
    <w:rsid w:val="00D40C22"/>
    <w:rsid w:val="00D4162B"/>
    <w:rsid w:val="00D4514F"/>
    <w:rsid w:val="00D451E2"/>
    <w:rsid w:val="00D4545E"/>
    <w:rsid w:val="00D45AC3"/>
    <w:rsid w:val="00D45E89"/>
    <w:rsid w:val="00D45E8D"/>
    <w:rsid w:val="00D466AE"/>
    <w:rsid w:val="00D46D8B"/>
    <w:rsid w:val="00D4734F"/>
    <w:rsid w:val="00D47C2C"/>
    <w:rsid w:val="00D50962"/>
    <w:rsid w:val="00D51BF3"/>
    <w:rsid w:val="00D602FE"/>
    <w:rsid w:val="00D61239"/>
    <w:rsid w:val="00D63276"/>
    <w:rsid w:val="00D64C98"/>
    <w:rsid w:val="00D66846"/>
    <w:rsid w:val="00D675FB"/>
    <w:rsid w:val="00D71F25"/>
    <w:rsid w:val="00D72353"/>
    <w:rsid w:val="00D75D70"/>
    <w:rsid w:val="00D77031"/>
    <w:rsid w:val="00D80DF3"/>
    <w:rsid w:val="00D81E32"/>
    <w:rsid w:val="00D81E51"/>
    <w:rsid w:val="00D81EE3"/>
    <w:rsid w:val="00D832B2"/>
    <w:rsid w:val="00D83475"/>
    <w:rsid w:val="00D84941"/>
    <w:rsid w:val="00D84BA8"/>
    <w:rsid w:val="00D84FA1"/>
    <w:rsid w:val="00D85125"/>
    <w:rsid w:val="00D851F0"/>
    <w:rsid w:val="00D864E9"/>
    <w:rsid w:val="00D86DB7"/>
    <w:rsid w:val="00D901FF"/>
    <w:rsid w:val="00D926D0"/>
    <w:rsid w:val="00D93030"/>
    <w:rsid w:val="00D950E1"/>
    <w:rsid w:val="00D952A6"/>
    <w:rsid w:val="00D97234"/>
    <w:rsid w:val="00D97F99"/>
    <w:rsid w:val="00DA18C1"/>
    <w:rsid w:val="00DA1E08"/>
    <w:rsid w:val="00DA24F8"/>
    <w:rsid w:val="00DA28E8"/>
    <w:rsid w:val="00DA38D3"/>
    <w:rsid w:val="00DA3932"/>
    <w:rsid w:val="00DA3BFA"/>
    <w:rsid w:val="00DA64F8"/>
    <w:rsid w:val="00DA6C15"/>
    <w:rsid w:val="00DB2E13"/>
    <w:rsid w:val="00DB38EE"/>
    <w:rsid w:val="00DB498B"/>
    <w:rsid w:val="00DB66CA"/>
    <w:rsid w:val="00DB6BCA"/>
    <w:rsid w:val="00DC0321"/>
    <w:rsid w:val="00DC10AA"/>
    <w:rsid w:val="00DC1F6B"/>
    <w:rsid w:val="00DC3067"/>
    <w:rsid w:val="00DC370B"/>
    <w:rsid w:val="00DC5B90"/>
    <w:rsid w:val="00DC7C72"/>
    <w:rsid w:val="00DD00FF"/>
    <w:rsid w:val="00DD0619"/>
    <w:rsid w:val="00DD0779"/>
    <w:rsid w:val="00DD07FB"/>
    <w:rsid w:val="00DD1819"/>
    <w:rsid w:val="00DD25C6"/>
    <w:rsid w:val="00DD54B0"/>
    <w:rsid w:val="00DD57EE"/>
    <w:rsid w:val="00DD5BF9"/>
    <w:rsid w:val="00DD6BCC"/>
    <w:rsid w:val="00DE08BB"/>
    <w:rsid w:val="00DE0A4B"/>
    <w:rsid w:val="00DE0DF9"/>
    <w:rsid w:val="00DE2410"/>
    <w:rsid w:val="00DE2939"/>
    <w:rsid w:val="00DE51F0"/>
    <w:rsid w:val="00DE5F78"/>
    <w:rsid w:val="00DE6E81"/>
    <w:rsid w:val="00DE703F"/>
    <w:rsid w:val="00DE747F"/>
    <w:rsid w:val="00DE7595"/>
    <w:rsid w:val="00DE7D43"/>
    <w:rsid w:val="00DF1961"/>
    <w:rsid w:val="00DF44DE"/>
    <w:rsid w:val="00DF5DBC"/>
    <w:rsid w:val="00E00BDD"/>
    <w:rsid w:val="00E01138"/>
    <w:rsid w:val="00E02DFB"/>
    <w:rsid w:val="00E030F9"/>
    <w:rsid w:val="00E0311A"/>
    <w:rsid w:val="00E03138"/>
    <w:rsid w:val="00E0538E"/>
    <w:rsid w:val="00E06404"/>
    <w:rsid w:val="00E0757D"/>
    <w:rsid w:val="00E11A85"/>
    <w:rsid w:val="00E12495"/>
    <w:rsid w:val="00E1501A"/>
    <w:rsid w:val="00E1515E"/>
    <w:rsid w:val="00E15CCD"/>
    <w:rsid w:val="00E164B5"/>
    <w:rsid w:val="00E202EF"/>
    <w:rsid w:val="00E210B5"/>
    <w:rsid w:val="00E21607"/>
    <w:rsid w:val="00E2447A"/>
    <w:rsid w:val="00E2552F"/>
    <w:rsid w:val="00E3137A"/>
    <w:rsid w:val="00E32CCF"/>
    <w:rsid w:val="00E336FE"/>
    <w:rsid w:val="00E34A98"/>
    <w:rsid w:val="00E35D1E"/>
    <w:rsid w:val="00E364F9"/>
    <w:rsid w:val="00E365FA"/>
    <w:rsid w:val="00E36903"/>
    <w:rsid w:val="00E40C94"/>
    <w:rsid w:val="00E4100B"/>
    <w:rsid w:val="00E415CD"/>
    <w:rsid w:val="00E4203D"/>
    <w:rsid w:val="00E429F4"/>
    <w:rsid w:val="00E42CDA"/>
    <w:rsid w:val="00E43D7B"/>
    <w:rsid w:val="00E44A83"/>
    <w:rsid w:val="00E47FE8"/>
    <w:rsid w:val="00E502C1"/>
    <w:rsid w:val="00E502DD"/>
    <w:rsid w:val="00E5065A"/>
    <w:rsid w:val="00E50D3A"/>
    <w:rsid w:val="00E51387"/>
    <w:rsid w:val="00E51E68"/>
    <w:rsid w:val="00E52EFD"/>
    <w:rsid w:val="00E5408A"/>
    <w:rsid w:val="00E56800"/>
    <w:rsid w:val="00E56A90"/>
    <w:rsid w:val="00E56F6E"/>
    <w:rsid w:val="00E60CD7"/>
    <w:rsid w:val="00E62FF9"/>
    <w:rsid w:val="00E6315D"/>
    <w:rsid w:val="00E635D6"/>
    <w:rsid w:val="00E639BC"/>
    <w:rsid w:val="00E64F1B"/>
    <w:rsid w:val="00E657ED"/>
    <w:rsid w:val="00E664CC"/>
    <w:rsid w:val="00E70388"/>
    <w:rsid w:val="00E70F92"/>
    <w:rsid w:val="00E7104D"/>
    <w:rsid w:val="00E715E5"/>
    <w:rsid w:val="00E74C54"/>
    <w:rsid w:val="00E74D36"/>
    <w:rsid w:val="00E772B0"/>
    <w:rsid w:val="00E77A03"/>
    <w:rsid w:val="00E822E8"/>
    <w:rsid w:val="00E82554"/>
    <w:rsid w:val="00E82606"/>
    <w:rsid w:val="00E8438E"/>
    <w:rsid w:val="00E846C8"/>
    <w:rsid w:val="00E84957"/>
    <w:rsid w:val="00E84A55"/>
    <w:rsid w:val="00E85BFF"/>
    <w:rsid w:val="00E90391"/>
    <w:rsid w:val="00E906C2"/>
    <w:rsid w:val="00E9311F"/>
    <w:rsid w:val="00E934D1"/>
    <w:rsid w:val="00E94AF0"/>
    <w:rsid w:val="00E95D13"/>
    <w:rsid w:val="00E95DD3"/>
    <w:rsid w:val="00E966CB"/>
    <w:rsid w:val="00E969D5"/>
    <w:rsid w:val="00E96E61"/>
    <w:rsid w:val="00EA0E33"/>
    <w:rsid w:val="00EA1B78"/>
    <w:rsid w:val="00EA1EA9"/>
    <w:rsid w:val="00EA27F8"/>
    <w:rsid w:val="00EA371A"/>
    <w:rsid w:val="00EA58D1"/>
    <w:rsid w:val="00EA61BC"/>
    <w:rsid w:val="00EA681A"/>
    <w:rsid w:val="00EA735B"/>
    <w:rsid w:val="00EA7B21"/>
    <w:rsid w:val="00EB02C2"/>
    <w:rsid w:val="00EB1E69"/>
    <w:rsid w:val="00EB2086"/>
    <w:rsid w:val="00EB3FA6"/>
    <w:rsid w:val="00EB5EDF"/>
    <w:rsid w:val="00EB60FE"/>
    <w:rsid w:val="00EB74DB"/>
    <w:rsid w:val="00EB7B24"/>
    <w:rsid w:val="00EB7FE5"/>
    <w:rsid w:val="00EC0359"/>
    <w:rsid w:val="00EC3136"/>
    <w:rsid w:val="00EC5109"/>
    <w:rsid w:val="00EC5359"/>
    <w:rsid w:val="00EC562A"/>
    <w:rsid w:val="00ED067A"/>
    <w:rsid w:val="00ED1496"/>
    <w:rsid w:val="00ED2B50"/>
    <w:rsid w:val="00ED5B9B"/>
    <w:rsid w:val="00ED6E91"/>
    <w:rsid w:val="00ED764F"/>
    <w:rsid w:val="00EE0350"/>
    <w:rsid w:val="00EE0719"/>
    <w:rsid w:val="00EE0E80"/>
    <w:rsid w:val="00EE5C65"/>
    <w:rsid w:val="00EE613F"/>
    <w:rsid w:val="00EE6262"/>
    <w:rsid w:val="00EE63EA"/>
    <w:rsid w:val="00EE7295"/>
    <w:rsid w:val="00EE7869"/>
    <w:rsid w:val="00EF054A"/>
    <w:rsid w:val="00EF3235"/>
    <w:rsid w:val="00EF7E72"/>
    <w:rsid w:val="00F06D37"/>
    <w:rsid w:val="00F07B9D"/>
    <w:rsid w:val="00F11586"/>
    <w:rsid w:val="00F1183B"/>
    <w:rsid w:val="00F11C9F"/>
    <w:rsid w:val="00F12263"/>
    <w:rsid w:val="00F1409D"/>
    <w:rsid w:val="00F14214"/>
    <w:rsid w:val="00F142A0"/>
    <w:rsid w:val="00F146BD"/>
    <w:rsid w:val="00F157A9"/>
    <w:rsid w:val="00F22545"/>
    <w:rsid w:val="00F25BB6"/>
    <w:rsid w:val="00F26B7E"/>
    <w:rsid w:val="00F26E85"/>
    <w:rsid w:val="00F27A3B"/>
    <w:rsid w:val="00F33817"/>
    <w:rsid w:val="00F33C5D"/>
    <w:rsid w:val="00F365D0"/>
    <w:rsid w:val="00F420D5"/>
    <w:rsid w:val="00F4416C"/>
    <w:rsid w:val="00F451EA"/>
    <w:rsid w:val="00F45447"/>
    <w:rsid w:val="00F456C6"/>
    <w:rsid w:val="00F4577B"/>
    <w:rsid w:val="00F46496"/>
    <w:rsid w:val="00F474D0"/>
    <w:rsid w:val="00F50179"/>
    <w:rsid w:val="00F50F07"/>
    <w:rsid w:val="00F51C52"/>
    <w:rsid w:val="00F52FFD"/>
    <w:rsid w:val="00F56511"/>
    <w:rsid w:val="00F57581"/>
    <w:rsid w:val="00F60D43"/>
    <w:rsid w:val="00F6194E"/>
    <w:rsid w:val="00F623AC"/>
    <w:rsid w:val="00F6412A"/>
    <w:rsid w:val="00F65893"/>
    <w:rsid w:val="00F66005"/>
    <w:rsid w:val="00F66A4A"/>
    <w:rsid w:val="00F67215"/>
    <w:rsid w:val="00F71E22"/>
    <w:rsid w:val="00F72142"/>
    <w:rsid w:val="00F72AE7"/>
    <w:rsid w:val="00F84934"/>
    <w:rsid w:val="00F84FD0"/>
    <w:rsid w:val="00F859A8"/>
    <w:rsid w:val="00F9108B"/>
    <w:rsid w:val="00F91349"/>
    <w:rsid w:val="00F93A8A"/>
    <w:rsid w:val="00F941D9"/>
    <w:rsid w:val="00F95248"/>
    <w:rsid w:val="00F956A9"/>
    <w:rsid w:val="00F963ED"/>
    <w:rsid w:val="00F966CF"/>
    <w:rsid w:val="00F96CAE"/>
    <w:rsid w:val="00F97C99"/>
    <w:rsid w:val="00FA4783"/>
    <w:rsid w:val="00FA662D"/>
    <w:rsid w:val="00FA73B1"/>
    <w:rsid w:val="00FA7949"/>
    <w:rsid w:val="00FB06FE"/>
    <w:rsid w:val="00FB0CB9"/>
    <w:rsid w:val="00FB1502"/>
    <w:rsid w:val="00FB45F1"/>
    <w:rsid w:val="00FB4A72"/>
    <w:rsid w:val="00FB54E8"/>
    <w:rsid w:val="00FB7054"/>
    <w:rsid w:val="00FC0D4B"/>
    <w:rsid w:val="00FC17B7"/>
    <w:rsid w:val="00FC2CB7"/>
    <w:rsid w:val="00FC4090"/>
    <w:rsid w:val="00FC55B4"/>
    <w:rsid w:val="00FC5793"/>
    <w:rsid w:val="00FD00E6"/>
    <w:rsid w:val="00FD09A1"/>
    <w:rsid w:val="00FD2A7C"/>
    <w:rsid w:val="00FD41B3"/>
    <w:rsid w:val="00FD4C37"/>
    <w:rsid w:val="00FD59EB"/>
    <w:rsid w:val="00FD665A"/>
    <w:rsid w:val="00FD7299"/>
    <w:rsid w:val="00FE12B7"/>
    <w:rsid w:val="00FE1FBE"/>
    <w:rsid w:val="00FE387A"/>
    <w:rsid w:val="00FE3901"/>
    <w:rsid w:val="00FE4BCE"/>
    <w:rsid w:val="00FE54AE"/>
    <w:rsid w:val="00FE54FA"/>
    <w:rsid w:val="00FE576A"/>
    <w:rsid w:val="00FE59D9"/>
    <w:rsid w:val="00FE7B13"/>
    <w:rsid w:val="00FE7E79"/>
    <w:rsid w:val="00FF05C4"/>
    <w:rsid w:val="00FF3E7D"/>
    <w:rsid w:val="00FF5B99"/>
    <w:rsid w:val="00FF730C"/>
    <w:rsid w:val="00FF73F4"/>
    <w:rsid w:val="00FF7CE4"/>
    <w:rsid w:val="00FF7E39"/>
    <w:rsid w:val="3C822D6C"/>
    <w:rsid w:val="487E64B6"/>
    <w:rsid w:val="69C7580B"/>
    <w:rsid w:val="6DDE092D"/>
    <w:rsid w:val="70063EE9"/>
    <w:rsid w:val="79E23D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4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7"/>
    <w:qFormat/>
    <w:uiPriority w:val="0"/>
    <w:pPr>
      <w:keepNext/>
      <w:keepLines/>
      <w:spacing w:before="260" w:after="260" w:line="416" w:lineRule="auto"/>
      <w:outlineLvl w:val="2"/>
    </w:pPr>
    <w:rPr>
      <w:b/>
      <w:bCs/>
      <w:sz w:val="32"/>
      <w:szCs w:val="32"/>
    </w:rPr>
  </w:style>
  <w:style w:type="paragraph" w:styleId="5">
    <w:name w:val="heading 4"/>
    <w:basedOn w:val="1"/>
    <w:next w:val="1"/>
    <w:link w:val="48"/>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9"/>
    <w:qFormat/>
    <w:uiPriority w:val="9"/>
    <w:pPr>
      <w:keepNext/>
      <w:keepLines/>
      <w:adjustRightInd/>
      <w:spacing w:before="280" w:after="290" w:line="376" w:lineRule="auto"/>
      <w:outlineLvl w:val="4"/>
    </w:pPr>
    <w:rPr>
      <w:b/>
      <w:bCs/>
      <w:sz w:val="28"/>
      <w:szCs w:val="28"/>
    </w:rPr>
  </w:style>
  <w:style w:type="paragraph" w:styleId="7">
    <w:name w:val="heading 6"/>
    <w:basedOn w:val="1"/>
    <w:next w:val="1"/>
    <w:link w:val="50"/>
    <w:qFormat/>
    <w:uiPriority w:val="9"/>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51"/>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52"/>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53"/>
    <w:qFormat/>
    <w:uiPriority w:val="0"/>
    <w:pPr>
      <w:keepNext/>
      <w:keepLines/>
      <w:adjustRightInd/>
      <w:spacing w:before="240" w:after="64" w:line="320" w:lineRule="auto"/>
      <w:outlineLvl w:val="8"/>
    </w:pPr>
    <w:rPr>
      <w:rFonts w:ascii="Arial" w:hAnsi="Arial" w:eastAsia="黑体"/>
    </w:rPr>
  </w:style>
  <w:style w:type="character" w:default="1" w:styleId="38">
    <w:name w:val="Default Paragraph Font"/>
    <w:semiHidden/>
    <w:unhideWhenUsed/>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0"/>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annotation text"/>
    <w:basedOn w:val="1"/>
    <w:link w:val="262"/>
    <w:qFormat/>
    <w:uiPriority w:val="0"/>
    <w:pPr>
      <w:adjustRightInd/>
      <w:spacing w:line="240" w:lineRule="auto"/>
      <w:ind w:firstLine="420" w:firstLineChars="200"/>
      <w:jc w:val="left"/>
    </w:pPr>
    <w:rPr>
      <w:rFonts w:ascii="宋体" w:hAnsi="宋体"/>
      <w:szCs w:val="24"/>
    </w:rPr>
  </w:style>
  <w:style w:type="paragraph" w:styleId="14">
    <w:name w:val="Body Text 3"/>
    <w:basedOn w:val="1"/>
    <w:link w:val="264"/>
    <w:qFormat/>
    <w:uiPriority w:val="0"/>
    <w:pPr>
      <w:widowControl/>
      <w:adjustRightInd/>
      <w:spacing w:line="440" w:lineRule="exact"/>
      <w:ind w:firstLine="420" w:firstLineChars="200"/>
      <w:jc w:val="left"/>
    </w:pPr>
    <w:rPr>
      <w:rFonts w:ascii="宋体" w:hAnsi="宋体"/>
      <w:color w:val="FF0000"/>
      <w:szCs w:val="24"/>
    </w:rPr>
  </w:style>
  <w:style w:type="paragraph" w:styleId="15">
    <w:name w:val="Body Text"/>
    <w:basedOn w:val="1"/>
    <w:link w:val="97"/>
    <w:qFormat/>
    <w:uiPriority w:val="0"/>
    <w:pPr>
      <w:spacing w:after="120"/>
    </w:pPr>
  </w:style>
  <w:style w:type="paragraph" w:styleId="16">
    <w:name w:val="Body Text Indent"/>
    <w:basedOn w:val="1"/>
    <w:link w:val="266"/>
    <w:qFormat/>
    <w:uiPriority w:val="0"/>
    <w:pPr>
      <w:adjustRightInd/>
      <w:spacing w:line="340" w:lineRule="exact"/>
      <w:ind w:firstLine="525" w:firstLineChars="250"/>
      <w:jc w:val="left"/>
      <w:outlineLvl w:val="0"/>
    </w:pPr>
    <w:rPr>
      <w:rFonts w:ascii="宋体" w:hAnsi="宋体"/>
      <w:bCs/>
      <w:szCs w:val="24"/>
    </w:rPr>
  </w:style>
  <w:style w:type="paragraph" w:styleId="17">
    <w:name w:val="toc 5"/>
    <w:basedOn w:val="1"/>
    <w:next w:val="1"/>
    <w:unhideWhenUsed/>
    <w:qFormat/>
    <w:uiPriority w:val="0"/>
    <w:pPr>
      <w:ind w:left="839"/>
    </w:pPr>
    <w:rPr>
      <w:rFonts w:ascii="宋体"/>
    </w:rPr>
  </w:style>
  <w:style w:type="paragraph" w:styleId="18">
    <w:name w:val="toc 3"/>
    <w:basedOn w:val="1"/>
    <w:next w:val="1"/>
    <w:unhideWhenUsed/>
    <w:qFormat/>
    <w:uiPriority w:val="0"/>
    <w:pPr>
      <w:spacing w:line="300" w:lineRule="exact"/>
      <w:ind w:left="420"/>
    </w:pPr>
    <w:rPr>
      <w:rFonts w:ascii="宋体"/>
    </w:rPr>
  </w:style>
  <w:style w:type="paragraph" w:styleId="19">
    <w:name w:val="Date"/>
    <w:basedOn w:val="1"/>
    <w:next w:val="1"/>
    <w:link w:val="267"/>
    <w:qFormat/>
    <w:uiPriority w:val="0"/>
    <w:pPr>
      <w:adjustRightInd/>
      <w:spacing w:line="240" w:lineRule="auto"/>
      <w:ind w:left="100" w:leftChars="2500" w:firstLine="420" w:firstLineChars="200"/>
      <w:jc w:val="left"/>
    </w:pPr>
    <w:rPr>
      <w:rFonts w:ascii="宋体" w:hAnsi="宋体"/>
      <w:szCs w:val="24"/>
    </w:rPr>
  </w:style>
  <w:style w:type="paragraph" w:styleId="20">
    <w:name w:val="Body Text Indent 2"/>
    <w:basedOn w:val="1"/>
    <w:link w:val="269"/>
    <w:qFormat/>
    <w:uiPriority w:val="0"/>
    <w:pPr>
      <w:adjustRightInd/>
      <w:spacing w:line="240" w:lineRule="auto"/>
      <w:ind w:firstLine="540" w:firstLineChars="300"/>
      <w:jc w:val="left"/>
    </w:pPr>
    <w:rPr>
      <w:rFonts w:ascii="宋体" w:hAnsi="宋体"/>
      <w:sz w:val="18"/>
      <w:szCs w:val="24"/>
    </w:rPr>
  </w:style>
  <w:style w:type="paragraph" w:styleId="21">
    <w:name w:val="Balloon Text"/>
    <w:basedOn w:val="1"/>
    <w:link w:val="56"/>
    <w:semiHidden/>
    <w:unhideWhenUsed/>
    <w:qFormat/>
    <w:uiPriority w:val="0"/>
    <w:rPr>
      <w:sz w:val="18"/>
      <w:szCs w:val="18"/>
    </w:rPr>
  </w:style>
  <w:style w:type="paragraph" w:styleId="22">
    <w:name w:val="footer"/>
    <w:basedOn w:val="1"/>
    <w:link w:val="55"/>
    <w:qFormat/>
    <w:uiPriority w:val="0"/>
    <w:pPr>
      <w:tabs>
        <w:tab w:val="center" w:pos="4153"/>
        <w:tab w:val="right" w:pos="8306"/>
      </w:tabs>
      <w:adjustRightInd/>
      <w:snapToGrid w:val="0"/>
      <w:spacing w:line="240" w:lineRule="auto"/>
      <w:jc w:val="right"/>
    </w:pPr>
    <w:rPr>
      <w:rFonts w:ascii="宋体"/>
      <w:sz w:val="18"/>
      <w:szCs w:val="18"/>
    </w:rPr>
  </w:style>
  <w:style w:type="paragraph" w:styleId="23">
    <w:name w:val="header"/>
    <w:basedOn w:val="1"/>
    <w:link w:val="54"/>
    <w:qFormat/>
    <w:uiPriority w:val="0"/>
    <w:pPr>
      <w:tabs>
        <w:tab w:val="center" w:pos="4153"/>
        <w:tab w:val="right" w:pos="8306"/>
      </w:tabs>
      <w:adjustRightInd/>
      <w:snapToGrid w:val="0"/>
      <w:jc w:val="center"/>
    </w:pPr>
    <w:rPr>
      <w:sz w:val="18"/>
      <w:szCs w:val="18"/>
    </w:rPr>
  </w:style>
  <w:style w:type="paragraph" w:styleId="24">
    <w:name w:val="toc 1"/>
    <w:basedOn w:val="1"/>
    <w:next w:val="1"/>
    <w:unhideWhenUsed/>
    <w:qFormat/>
    <w:uiPriority w:val="39"/>
    <w:rPr>
      <w:rFonts w:ascii="宋体"/>
    </w:rPr>
  </w:style>
  <w:style w:type="paragraph" w:styleId="25">
    <w:name w:val="toc 4"/>
    <w:basedOn w:val="1"/>
    <w:next w:val="1"/>
    <w:unhideWhenUsed/>
    <w:qFormat/>
    <w:uiPriority w:val="0"/>
    <w:pPr>
      <w:tabs>
        <w:tab w:val="right" w:leader="dot" w:pos="9344"/>
      </w:tabs>
      <w:spacing w:line="300" w:lineRule="exact"/>
      <w:ind w:left="629"/>
    </w:pPr>
    <w:rPr>
      <w:rFonts w:ascii="宋体"/>
    </w:rPr>
  </w:style>
  <w:style w:type="paragraph" w:styleId="26">
    <w:name w:val="Subtitle"/>
    <w:basedOn w:val="1"/>
    <w:next w:val="1"/>
    <w:link w:val="271"/>
    <w:qFormat/>
    <w:uiPriority w:val="11"/>
    <w:pPr>
      <w:adjustRightInd/>
      <w:spacing w:line="240" w:lineRule="auto"/>
      <w:jc w:val="center"/>
      <w:outlineLvl w:val="1"/>
    </w:pPr>
    <w:rPr>
      <w:rFonts w:asciiTheme="majorHAnsi" w:hAnsiTheme="majorHAnsi" w:cstheme="majorBidi"/>
      <w:bCs/>
      <w:kern w:val="28"/>
      <w:szCs w:val="32"/>
    </w:rPr>
  </w:style>
  <w:style w:type="paragraph" w:styleId="27">
    <w:name w:val="footnote text"/>
    <w:basedOn w:val="1"/>
    <w:next w:val="1"/>
    <w:link w:val="110"/>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8">
    <w:name w:val="toc 6"/>
    <w:basedOn w:val="1"/>
    <w:next w:val="1"/>
    <w:unhideWhenUsed/>
    <w:qFormat/>
    <w:uiPriority w:val="0"/>
    <w:pPr>
      <w:spacing w:line="300" w:lineRule="exact"/>
      <w:ind w:left="1049"/>
    </w:pPr>
    <w:rPr>
      <w:rFonts w:ascii="宋体"/>
    </w:rPr>
  </w:style>
  <w:style w:type="paragraph" w:styleId="29">
    <w:name w:val="Body Text Indent 3"/>
    <w:basedOn w:val="1"/>
    <w:link w:val="272"/>
    <w:qFormat/>
    <w:uiPriority w:val="0"/>
    <w:pPr>
      <w:adjustRightInd/>
      <w:spacing w:line="240" w:lineRule="auto"/>
      <w:ind w:firstLine="420" w:firstLineChars="200"/>
      <w:jc w:val="left"/>
    </w:pPr>
    <w:rPr>
      <w:rFonts w:ascii="宋体" w:hAnsi="宋体"/>
      <w:sz w:val="18"/>
      <w:szCs w:val="24"/>
    </w:rPr>
  </w:style>
  <w:style w:type="paragraph" w:styleId="30">
    <w:name w:val="table of figures"/>
    <w:basedOn w:val="1"/>
    <w:next w:val="1"/>
    <w:semiHidden/>
    <w:qFormat/>
    <w:uiPriority w:val="0"/>
    <w:pPr>
      <w:adjustRightInd/>
      <w:spacing w:line="240" w:lineRule="auto"/>
      <w:jc w:val="left"/>
    </w:pPr>
    <w:rPr>
      <w:szCs w:val="24"/>
    </w:rPr>
  </w:style>
  <w:style w:type="paragraph" w:styleId="31">
    <w:name w:val="toc 2"/>
    <w:basedOn w:val="1"/>
    <w:next w:val="1"/>
    <w:unhideWhenUsed/>
    <w:qFormat/>
    <w:uiPriority w:val="39"/>
    <w:pPr>
      <w:tabs>
        <w:tab w:val="right" w:leader="dot" w:pos="9344"/>
      </w:tabs>
      <w:spacing w:line="300" w:lineRule="exact"/>
      <w:ind w:left="210"/>
    </w:pPr>
    <w:rPr>
      <w:rFonts w:ascii="宋体"/>
    </w:rPr>
  </w:style>
  <w:style w:type="paragraph" w:styleId="32">
    <w:name w:val="Body Text 2"/>
    <w:basedOn w:val="1"/>
    <w:link w:val="274"/>
    <w:qFormat/>
    <w:uiPriority w:val="0"/>
    <w:pPr>
      <w:adjustRightInd/>
      <w:spacing w:line="440" w:lineRule="exact"/>
      <w:ind w:firstLine="420" w:firstLineChars="200"/>
      <w:jc w:val="left"/>
    </w:pPr>
    <w:rPr>
      <w:rFonts w:ascii="宋体" w:hAnsi="宋体"/>
      <w:color w:val="FF0000"/>
      <w:szCs w:val="24"/>
    </w:rPr>
  </w:style>
  <w:style w:type="paragraph" w:styleId="33">
    <w:name w:val="index 1"/>
    <w:basedOn w:val="1"/>
    <w:next w:val="1"/>
    <w:semiHidden/>
    <w:qFormat/>
    <w:uiPriority w:val="0"/>
    <w:pPr>
      <w:adjustRightInd/>
      <w:spacing w:line="240" w:lineRule="auto"/>
      <w:ind w:firstLine="420" w:firstLineChars="200"/>
      <w:jc w:val="left"/>
    </w:pPr>
    <w:rPr>
      <w:rFonts w:ascii="宋体" w:hAnsi="宋体"/>
      <w:szCs w:val="24"/>
    </w:rPr>
  </w:style>
  <w:style w:type="paragraph" w:styleId="34">
    <w:name w:val="Title"/>
    <w:basedOn w:val="1"/>
    <w:link w:val="59"/>
    <w:qFormat/>
    <w:uiPriority w:val="0"/>
    <w:pPr>
      <w:spacing w:before="240" w:after="60"/>
      <w:jc w:val="center"/>
      <w:outlineLvl w:val="0"/>
    </w:pPr>
    <w:rPr>
      <w:rFonts w:ascii="Arial" w:hAnsi="Arial" w:cs="Arial"/>
      <w:b/>
      <w:bCs/>
      <w:sz w:val="32"/>
      <w:szCs w:val="32"/>
    </w:rPr>
  </w:style>
  <w:style w:type="paragraph" w:styleId="35">
    <w:name w:val="annotation subject"/>
    <w:basedOn w:val="13"/>
    <w:next w:val="13"/>
    <w:link w:val="276"/>
    <w:semiHidden/>
    <w:qFormat/>
    <w:uiPriority w:val="0"/>
    <w:rPr>
      <w:b/>
      <w:bCs/>
    </w:rPr>
  </w:style>
  <w:style w:type="table" w:styleId="37">
    <w:name w:val="Table Grid"/>
    <w:basedOn w:val="3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qFormat/>
    <w:uiPriority w:val="22"/>
    <w:rPr>
      <w:b/>
      <w:bCs/>
    </w:rPr>
  </w:style>
  <w:style w:type="character" w:styleId="40">
    <w:name w:val="page number"/>
    <w:qFormat/>
    <w:uiPriority w:val="0"/>
    <w:rPr>
      <w:rFonts w:ascii="宋体" w:hAnsi="Times New Roman" w:eastAsia="宋体"/>
      <w:sz w:val="18"/>
    </w:rPr>
  </w:style>
  <w:style w:type="character" w:styleId="41">
    <w:name w:val="Emphasis"/>
    <w:qFormat/>
    <w:uiPriority w:val="20"/>
    <w:rPr>
      <w:i/>
      <w:iCs/>
    </w:rPr>
  </w:style>
  <w:style w:type="character" w:styleId="42">
    <w:name w:val="Hyperlink"/>
    <w:qFormat/>
    <w:uiPriority w:val="99"/>
    <w:rPr>
      <w:rFonts w:ascii="宋体" w:hAnsi="Times New Roman" w:eastAsia="宋体"/>
      <w:color w:val="auto"/>
      <w:spacing w:val="0"/>
      <w:w w:val="100"/>
      <w:position w:val="0"/>
      <w:sz w:val="21"/>
      <w:u w:val="none"/>
      <w:vertAlign w:val="baseline"/>
    </w:rPr>
  </w:style>
  <w:style w:type="character" w:styleId="43">
    <w:name w:val="annotation reference"/>
    <w:qFormat/>
    <w:uiPriority w:val="0"/>
    <w:rPr>
      <w:sz w:val="21"/>
      <w:szCs w:val="21"/>
    </w:rPr>
  </w:style>
  <w:style w:type="character" w:styleId="44">
    <w:name w:val="footnote reference"/>
    <w:semiHidden/>
    <w:qFormat/>
    <w:uiPriority w:val="0"/>
    <w:rPr>
      <w:rFonts w:ascii="宋体" w:hAnsi="宋体" w:eastAsia="宋体" w:cs="Times New Roman"/>
      <w:spacing w:val="0"/>
      <w:sz w:val="18"/>
      <w:vertAlign w:val="superscript"/>
    </w:rPr>
  </w:style>
  <w:style w:type="character" w:customStyle="1" w:styleId="45">
    <w:name w:val="标题 1 Char"/>
    <w:link w:val="2"/>
    <w:qFormat/>
    <w:uiPriority w:val="0"/>
    <w:rPr>
      <w:rFonts w:ascii="Times New Roman" w:hAnsi="Times New Roman" w:eastAsia="宋体" w:cs="Times New Roman"/>
      <w:b/>
      <w:bCs/>
      <w:kern w:val="44"/>
      <w:sz w:val="44"/>
      <w:szCs w:val="44"/>
    </w:rPr>
  </w:style>
  <w:style w:type="character" w:customStyle="1" w:styleId="46">
    <w:name w:val="标题 2 Char"/>
    <w:link w:val="3"/>
    <w:qFormat/>
    <w:uiPriority w:val="0"/>
    <w:rPr>
      <w:rFonts w:ascii="Arial" w:hAnsi="Arial" w:eastAsia="黑体" w:cs="Times New Roman"/>
      <w:b/>
      <w:bCs/>
      <w:sz w:val="32"/>
      <w:szCs w:val="32"/>
    </w:rPr>
  </w:style>
  <w:style w:type="character" w:customStyle="1" w:styleId="47">
    <w:name w:val="标题 3 Char"/>
    <w:link w:val="4"/>
    <w:qFormat/>
    <w:uiPriority w:val="0"/>
    <w:rPr>
      <w:rFonts w:ascii="Times New Roman" w:hAnsi="Times New Roman" w:eastAsia="宋体" w:cs="Times New Roman"/>
      <w:b/>
      <w:bCs/>
      <w:sz w:val="32"/>
      <w:szCs w:val="32"/>
    </w:rPr>
  </w:style>
  <w:style w:type="character" w:customStyle="1" w:styleId="48">
    <w:name w:val="标题 4 Char"/>
    <w:link w:val="5"/>
    <w:qFormat/>
    <w:uiPriority w:val="0"/>
    <w:rPr>
      <w:rFonts w:ascii="Arial" w:hAnsi="Arial" w:eastAsia="黑体" w:cs="Times New Roman"/>
      <w:b/>
      <w:bCs/>
      <w:sz w:val="28"/>
      <w:szCs w:val="28"/>
    </w:rPr>
  </w:style>
  <w:style w:type="character" w:customStyle="1" w:styleId="49">
    <w:name w:val="标题 5 Char"/>
    <w:link w:val="6"/>
    <w:qFormat/>
    <w:uiPriority w:val="9"/>
    <w:rPr>
      <w:rFonts w:ascii="Times New Roman" w:hAnsi="Times New Roman" w:eastAsia="宋体" w:cs="Times New Roman"/>
      <w:b/>
      <w:bCs/>
      <w:sz w:val="28"/>
      <w:szCs w:val="28"/>
    </w:rPr>
  </w:style>
  <w:style w:type="character" w:customStyle="1" w:styleId="50">
    <w:name w:val="标题 6 Char"/>
    <w:link w:val="7"/>
    <w:qFormat/>
    <w:uiPriority w:val="9"/>
    <w:rPr>
      <w:rFonts w:ascii="Arial" w:hAnsi="Arial" w:eastAsia="黑体" w:cs="Times New Roman"/>
      <w:b/>
      <w:bCs/>
      <w:sz w:val="24"/>
      <w:szCs w:val="24"/>
    </w:rPr>
  </w:style>
  <w:style w:type="character" w:customStyle="1" w:styleId="51">
    <w:name w:val="标题 7 Char"/>
    <w:link w:val="8"/>
    <w:qFormat/>
    <w:uiPriority w:val="0"/>
    <w:rPr>
      <w:rFonts w:ascii="Times New Roman" w:hAnsi="Times New Roman" w:eastAsia="宋体" w:cs="Times New Roman"/>
      <w:b/>
      <w:bCs/>
      <w:sz w:val="24"/>
      <w:szCs w:val="24"/>
    </w:rPr>
  </w:style>
  <w:style w:type="character" w:customStyle="1" w:styleId="52">
    <w:name w:val="标题 8 Char"/>
    <w:link w:val="9"/>
    <w:qFormat/>
    <w:uiPriority w:val="0"/>
    <w:rPr>
      <w:rFonts w:ascii="Arial" w:hAnsi="Arial" w:eastAsia="黑体" w:cs="Times New Roman"/>
      <w:sz w:val="24"/>
      <w:szCs w:val="24"/>
    </w:rPr>
  </w:style>
  <w:style w:type="character" w:customStyle="1" w:styleId="53">
    <w:name w:val="标题 9 Char"/>
    <w:link w:val="10"/>
    <w:qFormat/>
    <w:uiPriority w:val="0"/>
    <w:rPr>
      <w:rFonts w:ascii="Arial" w:hAnsi="Arial" w:eastAsia="黑体" w:cs="Times New Roman"/>
      <w:szCs w:val="21"/>
    </w:rPr>
  </w:style>
  <w:style w:type="character" w:customStyle="1" w:styleId="54">
    <w:name w:val="页眉 Char"/>
    <w:link w:val="23"/>
    <w:qFormat/>
    <w:uiPriority w:val="99"/>
    <w:rPr>
      <w:rFonts w:ascii="Times New Roman" w:hAnsi="Times New Roman" w:eastAsia="宋体" w:cs="Times New Roman"/>
      <w:sz w:val="18"/>
      <w:szCs w:val="18"/>
    </w:rPr>
  </w:style>
  <w:style w:type="character" w:customStyle="1" w:styleId="55">
    <w:name w:val="页脚 Char"/>
    <w:link w:val="22"/>
    <w:qFormat/>
    <w:uiPriority w:val="99"/>
    <w:rPr>
      <w:rFonts w:ascii="宋体" w:hAnsi="Times New Roman" w:eastAsia="宋体" w:cs="Times New Roman"/>
      <w:sz w:val="18"/>
      <w:szCs w:val="18"/>
    </w:rPr>
  </w:style>
  <w:style w:type="character" w:customStyle="1" w:styleId="56">
    <w:name w:val="批注框文本 Char"/>
    <w:link w:val="21"/>
    <w:semiHidden/>
    <w:qFormat/>
    <w:uiPriority w:val="99"/>
    <w:rPr>
      <w:sz w:val="18"/>
      <w:szCs w:val="18"/>
    </w:rPr>
  </w:style>
  <w:style w:type="paragraph" w:styleId="57">
    <w:name w:val="Quote"/>
    <w:basedOn w:val="1"/>
    <w:next w:val="1"/>
    <w:link w:val="58"/>
    <w:qFormat/>
    <w:uiPriority w:val="29"/>
    <w:rPr>
      <w:i/>
      <w:iCs/>
      <w:color w:val="000000"/>
    </w:rPr>
  </w:style>
  <w:style w:type="character" w:customStyle="1" w:styleId="58">
    <w:name w:val="引用 Char"/>
    <w:link w:val="57"/>
    <w:qFormat/>
    <w:uiPriority w:val="29"/>
    <w:rPr>
      <w:i/>
      <w:iCs/>
      <w:color w:val="000000"/>
    </w:rPr>
  </w:style>
  <w:style w:type="character" w:customStyle="1" w:styleId="59">
    <w:name w:val="标题 Char"/>
    <w:link w:val="34"/>
    <w:qFormat/>
    <w:uiPriority w:val="0"/>
    <w:rPr>
      <w:rFonts w:ascii="Arial" w:hAnsi="Arial" w:eastAsia="宋体" w:cs="Arial"/>
      <w:b/>
      <w:bCs/>
      <w:sz w:val="32"/>
      <w:szCs w:val="32"/>
    </w:rPr>
  </w:style>
  <w:style w:type="paragraph" w:customStyle="1" w:styleId="60">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61">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62">
    <w:name w:val="标准文件_页脚偶数页"/>
    <w:qFormat/>
    <w:uiPriority w:val="0"/>
    <w:pPr>
      <w:ind w:left="227"/>
    </w:pPr>
    <w:rPr>
      <w:rFonts w:ascii="宋体" w:hAnsi="Times New Roman" w:eastAsia="宋体" w:cs="Times New Roman"/>
      <w:sz w:val="18"/>
      <w:lang w:val="en-US" w:eastAsia="zh-CN" w:bidi="ar-SA"/>
    </w:rPr>
  </w:style>
  <w:style w:type="paragraph" w:customStyle="1" w:styleId="63">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64">
    <w:name w:val="标准书眉一"/>
    <w:qFormat/>
    <w:uiPriority w:val="0"/>
    <w:pPr>
      <w:jc w:val="both"/>
    </w:pPr>
    <w:rPr>
      <w:rFonts w:ascii="Times New Roman" w:hAnsi="Times New Roman" w:eastAsia="宋体" w:cs="Times New Roman"/>
      <w:lang w:val="en-US" w:eastAsia="zh-CN" w:bidi="ar-SA"/>
    </w:rPr>
  </w:style>
  <w:style w:type="paragraph" w:customStyle="1" w:styleId="65">
    <w:name w:val="标准文件_ICS"/>
    <w:basedOn w:val="1"/>
    <w:qFormat/>
    <w:uiPriority w:val="0"/>
    <w:pPr>
      <w:spacing w:line="0" w:lineRule="atLeast"/>
    </w:pPr>
    <w:rPr>
      <w:rFonts w:ascii="黑体" w:hAnsi="宋体" w:eastAsia="黑体"/>
    </w:rPr>
  </w:style>
  <w:style w:type="paragraph" w:customStyle="1" w:styleId="66">
    <w:name w:val="标准文件_标准正文"/>
    <w:basedOn w:val="1"/>
    <w:next w:val="67"/>
    <w:qFormat/>
    <w:uiPriority w:val="0"/>
    <w:pPr>
      <w:snapToGrid w:val="0"/>
      <w:ind w:firstLine="200" w:firstLineChars="200"/>
    </w:pPr>
    <w:rPr>
      <w:kern w:val="0"/>
    </w:rPr>
  </w:style>
  <w:style w:type="paragraph" w:customStyle="1" w:styleId="67">
    <w:name w:val="标准文件_段"/>
    <w:link w:val="195"/>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8">
    <w:name w:val="标准文件_版本"/>
    <w:basedOn w:val="66"/>
    <w:qFormat/>
    <w:uiPriority w:val="0"/>
    <w:pPr>
      <w:adjustRightInd/>
      <w:snapToGrid/>
      <w:ind w:firstLine="0" w:firstLineChars="0"/>
    </w:pPr>
    <w:rPr>
      <w:rFonts w:ascii="宋体" w:hAnsi="宋体"/>
      <w:kern w:val="2"/>
    </w:rPr>
  </w:style>
  <w:style w:type="paragraph" w:customStyle="1" w:styleId="69">
    <w:name w:val="标准文件_标准部门"/>
    <w:basedOn w:val="1"/>
    <w:qFormat/>
    <w:uiPriority w:val="0"/>
    <w:pPr>
      <w:jc w:val="center"/>
    </w:pPr>
    <w:rPr>
      <w:rFonts w:ascii="黑体" w:eastAsia="黑体"/>
      <w:kern w:val="0"/>
      <w:sz w:val="44"/>
    </w:rPr>
  </w:style>
  <w:style w:type="paragraph" w:customStyle="1" w:styleId="70">
    <w:name w:val="标准文件_标准代替"/>
    <w:basedOn w:val="1"/>
    <w:next w:val="1"/>
    <w:qFormat/>
    <w:uiPriority w:val="0"/>
    <w:pPr>
      <w:spacing w:line="310" w:lineRule="exact"/>
      <w:jc w:val="right"/>
    </w:pPr>
    <w:rPr>
      <w:rFonts w:ascii="宋体" w:hAnsi="宋体"/>
      <w:kern w:val="0"/>
    </w:rPr>
  </w:style>
  <w:style w:type="paragraph" w:customStyle="1" w:styleId="71">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72">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73">
    <w:name w:val="标准文件_页眉偶数页"/>
    <w:basedOn w:val="72"/>
    <w:next w:val="1"/>
    <w:qFormat/>
    <w:uiPriority w:val="0"/>
    <w:pPr>
      <w:jc w:val="left"/>
    </w:pPr>
  </w:style>
  <w:style w:type="paragraph" w:customStyle="1" w:styleId="74">
    <w:name w:val="标准文件_参考文献标题"/>
    <w:basedOn w:val="1"/>
    <w:next w:val="1"/>
    <w:qFormat/>
    <w:uiPriority w:val="0"/>
    <w:pPr>
      <w:widowControl/>
      <w:shd w:val="clear" w:color="FFFFFF" w:fill="FFFFFF"/>
      <w:adjustRightInd/>
      <w:spacing w:before="40" w:beforeLines="40" w:after="50" w:afterLines="50" w:line="240" w:lineRule="auto"/>
      <w:jc w:val="center"/>
      <w:outlineLvl w:val="0"/>
    </w:pPr>
    <w:rPr>
      <w:rFonts w:ascii="黑体" w:eastAsia="黑体"/>
      <w:kern w:val="0"/>
    </w:rPr>
  </w:style>
  <w:style w:type="paragraph" w:customStyle="1" w:styleId="75">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76">
    <w:name w:val="标准文件_二级条标题"/>
    <w:next w:val="67"/>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7">
    <w:name w:val="标准文件_发布"/>
    <w:qFormat/>
    <w:uiPriority w:val="0"/>
    <w:rPr>
      <w:rFonts w:ascii="黑体" w:eastAsia="黑体"/>
      <w:spacing w:val="0"/>
      <w:w w:val="100"/>
      <w:position w:val="3"/>
      <w:sz w:val="28"/>
    </w:rPr>
  </w:style>
  <w:style w:type="paragraph" w:customStyle="1" w:styleId="78">
    <w:name w:val="标准文件_方框数字列项"/>
    <w:basedOn w:val="67"/>
    <w:qFormat/>
    <w:uiPriority w:val="0"/>
    <w:pPr>
      <w:numPr>
        <w:ilvl w:val="0"/>
        <w:numId w:val="3"/>
      </w:numPr>
      <w:ind w:firstLine="0" w:firstLineChars="0"/>
    </w:pPr>
  </w:style>
  <w:style w:type="paragraph" w:customStyle="1" w:styleId="79">
    <w:name w:val="标准文件_封面标准编号"/>
    <w:basedOn w:val="1"/>
    <w:next w:val="70"/>
    <w:qFormat/>
    <w:uiPriority w:val="0"/>
    <w:pPr>
      <w:spacing w:line="310" w:lineRule="exact"/>
      <w:jc w:val="right"/>
    </w:pPr>
    <w:rPr>
      <w:rFonts w:ascii="黑体" w:eastAsia="黑体"/>
      <w:kern w:val="0"/>
      <w:sz w:val="28"/>
    </w:rPr>
  </w:style>
  <w:style w:type="paragraph" w:customStyle="1" w:styleId="80">
    <w:name w:val="标准文件_封面标准分类号"/>
    <w:basedOn w:val="1"/>
    <w:qFormat/>
    <w:uiPriority w:val="0"/>
    <w:rPr>
      <w:rFonts w:ascii="黑体" w:eastAsia="黑体"/>
      <w:b/>
      <w:kern w:val="0"/>
      <w:sz w:val="28"/>
    </w:rPr>
  </w:style>
  <w:style w:type="paragraph" w:customStyle="1" w:styleId="81">
    <w:name w:val="标准文件_封面标准名称"/>
    <w:basedOn w:val="1"/>
    <w:qFormat/>
    <w:uiPriority w:val="0"/>
    <w:pPr>
      <w:spacing w:line="240" w:lineRule="auto"/>
      <w:jc w:val="center"/>
    </w:pPr>
    <w:rPr>
      <w:rFonts w:ascii="黑体" w:eastAsia="黑体"/>
      <w:kern w:val="0"/>
      <w:sz w:val="52"/>
    </w:rPr>
  </w:style>
  <w:style w:type="paragraph" w:customStyle="1" w:styleId="82">
    <w:name w:val="标准文件_封面标准英文名称"/>
    <w:basedOn w:val="1"/>
    <w:qFormat/>
    <w:uiPriority w:val="0"/>
    <w:pPr>
      <w:spacing w:line="240" w:lineRule="auto"/>
      <w:jc w:val="center"/>
    </w:pPr>
    <w:rPr>
      <w:rFonts w:ascii="黑体" w:eastAsia="黑体"/>
      <w:b/>
      <w:sz w:val="28"/>
    </w:rPr>
  </w:style>
  <w:style w:type="paragraph" w:customStyle="1" w:styleId="83">
    <w:name w:val="标准文件_封面发布日期"/>
    <w:basedOn w:val="1"/>
    <w:qFormat/>
    <w:uiPriority w:val="0"/>
    <w:pPr>
      <w:spacing w:line="310" w:lineRule="exact"/>
    </w:pPr>
    <w:rPr>
      <w:rFonts w:ascii="黑体" w:eastAsia="黑体"/>
      <w:kern w:val="0"/>
      <w:sz w:val="28"/>
    </w:rPr>
  </w:style>
  <w:style w:type="paragraph" w:customStyle="1" w:styleId="84">
    <w:name w:val="标准文件_封面密级"/>
    <w:basedOn w:val="1"/>
    <w:qFormat/>
    <w:uiPriority w:val="0"/>
    <w:rPr>
      <w:rFonts w:eastAsia="黑体"/>
      <w:sz w:val="32"/>
    </w:rPr>
  </w:style>
  <w:style w:type="paragraph" w:customStyle="1" w:styleId="85">
    <w:name w:val="标准文件_封面实施日期"/>
    <w:basedOn w:val="1"/>
    <w:qFormat/>
    <w:uiPriority w:val="0"/>
    <w:pPr>
      <w:spacing w:line="310" w:lineRule="exact"/>
      <w:jc w:val="right"/>
    </w:pPr>
    <w:rPr>
      <w:rFonts w:ascii="黑体" w:eastAsia="黑体"/>
      <w:sz w:val="28"/>
    </w:rPr>
  </w:style>
  <w:style w:type="paragraph" w:customStyle="1" w:styleId="86">
    <w:name w:val="标准文件_封面抬头"/>
    <w:basedOn w:val="67"/>
    <w:qFormat/>
    <w:uiPriority w:val="0"/>
    <w:pPr>
      <w:adjustRightInd w:val="0"/>
      <w:spacing w:line="800" w:lineRule="exact"/>
      <w:ind w:firstLine="0" w:firstLineChars="0"/>
      <w:jc w:val="distribute"/>
    </w:pPr>
    <w:rPr>
      <w:rFonts w:ascii="黑体" w:eastAsia="黑体"/>
      <w:b/>
      <w:sz w:val="64"/>
    </w:rPr>
  </w:style>
  <w:style w:type="paragraph" w:customStyle="1" w:styleId="87">
    <w:name w:val="标准文件_附录标识"/>
    <w:next w:val="67"/>
    <w:qFormat/>
    <w:uiPriority w:val="0"/>
    <w:pPr>
      <w:numPr>
        <w:ilvl w:val="0"/>
        <w:numId w:val="4"/>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88">
    <w:name w:val="标准文件_附录表标题"/>
    <w:next w:val="67"/>
    <w:qFormat/>
    <w:uiPriority w:val="0"/>
    <w:pPr>
      <w:numPr>
        <w:ilvl w:val="1"/>
        <w:numId w:val="5"/>
      </w:numPr>
      <w:adjustRightInd w:val="0"/>
      <w:snapToGrid w:val="0"/>
      <w:spacing w:before="50" w:beforeLines="50" w:after="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89">
    <w:name w:val="标准文件_附录一级条标题"/>
    <w:next w:val="67"/>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90">
    <w:name w:val="标准文件_附录二级条标题"/>
    <w:basedOn w:val="89"/>
    <w:next w:val="67"/>
    <w:qFormat/>
    <w:uiPriority w:val="0"/>
    <w:pPr>
      <w:widowControl/>
      <w:numPr>
        <w:ilvl w:val="2"/>
      </w:numPr>
      <w:wordWrap w:val="0"/>
      <w:overflowPunct w:val="0"/>
      <w:autoSpaceDE w:val="0"/>
      <w:autoSpaceDN w:val="0"/>
      <w:textAlignment w:val="baseline"/>
      <w:outlineLvl w:val="3"/>
    </w:pPr>
  </w:style>
  <w:style w:type="paragraph" w:customStyle="1" w:styleId="91">
    <w:name w:val="标准文件_附录公式"/>
    <w:basedOn w:val="66"/>
    <w:next w:val="66"/>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92">
    <w:name w:val="标准文件_附录三级条标题"/>
    <w:next w:val="67"/>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93">
    <w:name w:val="标准文件_附录四级条标题"/>
    <w:next w:val="67"/>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94">
    <w:name w:val="标准文件_附录图标题"/>
    <w:next w:val="67"/>
    <w:qFormat/>
    <w:uiPriority w:val="0"/>
    <w:pPr>
      <w:numPr>
        <w:ilvl w:val="1"/>
        <w:numId w:val="6"/>
      </w:numPr>
      <w:adjustRightInd w:val="0"/>
      <w:snapToGrid w:val="0"/>
      <w:spacing w:before="50" w:beforeLines="50" w:after="50" w:afterLines="50"/>
      <w:ind w:left="0" w:firstLine="420"/>
      <w:jc w:val="center"/>
    </w:pPr>
    <w:rPr>
      <w:rFonts w:ascii="黑体" w:hAnsi="Times New Roman" w:eastAsia="黑体" w:cs="Times New Roman"/>
      <w:sz w:val="21"/>
      <w:lang w:val="en-US" w:eastAsia="zh-CN" w:bidi="ar-SA"/>
    </w:rPr>
  </w:style>
  <w:style w:type="paragraph" w:customStyle="1" w:styleId="95">
    <w:name w:val="标准文件_附录五级条标题"/>
    <w:next w:val="67"/>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96">
    <w:name w:val="标准文件_附录英文标识"/>
    <w:next w:val="15"/>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7">
    <w:name w:val="正文文本 Char"/>
    <w:link w:val="15"/>
    <w:qFormat/>
    <w:uiPriority w:val="0"/>
    <w:rPr>
      <w:rFonts w:ascii="Times New Roman" w:hAnsi="Times New Roman" w:eastAsia="宋体" w:cs="Times New Roman"/>
      <w:szCs w:val="20"/>
    </w:rPr>
  </w:style>
  <w:style w:type="paragraph" w:customStyle="1" w:styleId="98">
    <w:name w:val="标准文件_附录章标题"/>
    <w:next w:val="67"/>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9">
    <w:name w:val="标准文件_公式后的破折号"/>
    <w:basedOn w:val="67"/>
    <w:next w:val="67"/>
    <w:qFormat/>
    <w:uiPriority w:val="0"/>
    <w:pPr>
      <w:ind w:left="488" w:leftChars="200" w:hanging="289" w:hangingChars="290"/>
    </w:pPr>
  </w:style>
  <w:style w:type="paragraph" w:customStyle="1" w:styleId="100">
    <w:name w:val="标准文件_前言、引言标题"/>
    <w:next w:val="1"/>
    <w:qFormat/>
    <w:uiPriority w:val="0"/>
    <w:pPr>
      <w:numPr>
        <w:ilvl w:val="0"/>
        <w:numId w:val="8"/>
      </w:numPr>
      <w:shd w:val="clear" w:color="FFFFFF" w:fill="FFFFFF"/>
      <w:spacing w:after="150" w:afterLines="150"/>
      <w:ind w:left="0" w:firstLine="0"/>
      <w:jc w:val="center"/>
      <w:outlineLvl w:val="0"/>
    </w:pPr>
    <w:rPr>
      <w:rFonts w:ascii="黑体" w:hAnsi="Times New Roman" w:eastAsia="黑体" w:cs="Times New Roman"/>
      <w:sz w:val="32"/>
      <w:lang w:val="en-US" w:eastAsia="zh-CN" w:bidi="ar-SA"/>
    </w:rPr>
  </w:style>
  <w:style w:type="paragraph" w:customStyle="1" w:styleId="101">
    <w:name w:val="标准文件_目次、标准名称标题"/>
    <w:basedOn w:val="100"/>
    <w:next w:val="67"/>
    <w:qFormat/>
    <w:uiPriority w:val="0"/>
    <w:pPr>
      <w:spacing w:line="460" w:lineRule="exact"/>
    </w:pPr>
  </w:style>
  <w:style w:type="paragraph" w:customStyle="1" w:styleId="102">
    <w:name w:val="标准文件_目录标题"/>
    <w:basedOn w:val="1"/>
    <w:qFormat/>
    <w:uiPriority w:val="0"/>
    <w:pPr>
      <w:spacing w:after="150" w:afterLines="150" w:line="240" w:lineRule="auto"/>
      <w:jc w:val="center"/>
    </w:pPr>
    <w:rPr>
      <w:rFonts w:ascii="黑体" w:eastAsia="黑体"/>
      <w:sz w:val="32"/>
    </w:rPr>
  </w:style>
  <w:style w:type="paragraph" w:customStyle="1" w:styleId="103">
    <w:name w:val="标准文件_破折号列项"/>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104">
    <w:name w:val="标准文件_破折号列项（二级）"/>
    <w:basedOn w:val="103"/>
    <w:qFormat/>
    <w:uiPriority w:val="0"/>
    <w:pPr>
      <w:numPr>
        <w:numId w:val="10"/>
      </w:numPr>
      <w:ind w:left="0" w:firstLine="200"/>
    </w:pPr>
  </w:style>
  <w:style w:type="paragraph" w:customStyle="1" w:styleId="105">
    <w:name w:val="标准文件_三级条标题"/>
    <w:basedOn w:val="76"/>
    <w:next w:val="67"/>
    <w:qFormat/>
    <w:uiPriority w:val="0"/>
    <w:pPr>
      <w:widowControl/>
      <w:numPr>
        <w:ilvl w:val="4"/>
      </w:numPr>
      <w:outlineLvl w:val="3"/>
    </w:pPr>
  </w:style>
  <w:style w:type="character" w:customStyle="1" w:styleId="106">
    <w:name w:val="不明显参考1"/>
    <w:qFormat/>
    <w:uiPriority w:val="31"/>
    <w:rPr>
      <w:smallCaps/>
      <w:color w:val="C0504D"/>
      <w:u w:val="single"/>
    </w:rPr>
  </w:style>
  <w:style w:type="paragraph" w:customStyle="1" w:styleId="107">
    <w:name w:val="标准文件_示例后续"/>
    <w:basedOn w:val="1"/>
    <w:qFormat/>
    <w:uiPriority w:val="0"/>
    <w:pPr>
      <w:adjustRightInd/>
      <w:spacing w:line="240" w:lineRule="auto"/>
      <w:ind w:firstLine="200" w:firstLineChars="200"/>
    </w:pPr>
    <w:rPr>
      <w:sz w:val="18"/>
      <w:szCs w:val="24"/>
    </w:rPr>
  </w:style>
  <w:style w:type="paragraph" w:customStyle="1" w:styleId="108">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9">
    <w:name w:val="标准文件_四级条标题"/>
    <w:next w:val="67"/>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10">
    <w:name w:val="脚注文本 Char"/>
    <w:link w:val="27"/>
    <w:semiHidden/>
    <w:qFormat/>
    <w:uiPriority w:val="0"/>
    <w:rPr>
      <w:rFonts w:ascii="宋体" w:hAnsi="Times New Roman" w:eastAsia="宋体" w:cs="Times New Roman"/>
      <w:sz w:val="18"/>
      <w:szCs w:val="18"/>
    </w:rPr>
  </w:style>
  <w:style w:type="paragraph" w:customStyle="1" w:styleId="111">
    <w:name w:val="标准文件_条文脚注"/>
    <w:basedOn w:val="27"/>
    <w:qFormat/>
    <w:uiPriority w:val="0"/>
    <w:pPr>
      <w:adjustRightInd w:val="0"/>
      <w:spacing w:line="240" w:lineRule="auto"/>
      <w:ind w:left="0" w:leftChars="0" w:firstLine="200" w:firstLineChars="200"/>
      <w:jc w:val="both"/>
    </w:pPr>
    <w:rPr>
      <w:rFonts w:hAnsi="宋体"/>
    </w:rPr>
  </w:style>
  <w:style w:type="paragraph" w:customStyle="1" w:styleId="112">
    <w:name w:val="标准文件_图表脚注"/>
    <w:basedOn w:val="1"/>
    <w:next w:val="67"/>
    <w:qFormat/>
    <w:uiPriority w:val="0"/>
    <w:pPr>
      <w:numPr>
        <w:ilvl w:val="0"/>
        <w:numId w:val="12"/>
      </w:numPr>
      <w:spacing w:line="240" w:lineRule="auto"/>
      <w:jc w:val="left"/>
    </w:pPr>
    <w:rPr>
      <w:rFonts w:ascii="宋体" w:hAnsi="宋体"/>
      <w:sz w:val="18"/>
    </w:rPr>
  </w:style>
  <w:style w:type="character" w:customStyle="1" w:styleId="113">
    <w:name w:val="标准文件_图表脚注内容"/>
    <w:qFormat/>
    <w:uiPriority w:val="0"/>
    <w:rPr>
      <w:rFonts w:ascii="宋体" w:hAnsi="宋体" w:eastAsia="宋体" w:cs="Times New Roman"/>
      <w:spacing w:val="0"/>
      <w:sz w:val="18"/>
      <w:vertAlign w:val="superscript"/>
    </w:rPr>
  </w:style>
  <w:style w:type="paragraph" w:customStyle="1" w:styleId="114">
    <w:name w:val="标准文件_五级条标题"/>
    <w:next w:val="67"/>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15">
    <w:name w:val="标准文件_章标题"/>
    <w:next w:val="67"/>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16">
    <w:name w:val="标准文件_一级条标题"/>
    <w:basedOn w:val="115"/>
    <w:next w:val="67"/>
    <w:qFormat/>
    <w:uiPriority w:val="0"/>
    <w:pPr>
      <w:numPr>
        <w:ilvl w:val="2"/>
      </w:numPr>
      <w:spacing w:before="50" w:beforeLines="50" w:after="50" w:afterLines="50"/>
      <w:outlineLvl w:val="1"/>
    </w:pPr>
  </w:style>
  <w:style w:type="paragraph" w:customStyle="1" w:styleId="117">
    <w:name w:val="标准文件_一致程度"/>
    <w:basedOn w:val="1"/>
    <w:qFormat/>
    <w:uiPriority w:val="0"/>
    <w:pPr>
      <w:spacing w:line="440" w:lineRule="exact"/>
      <w:jc w:val="center"/>
    </w:pPr>
    <w:rPr>
      <w:sz w:val="28"/>
    </w:rPr>
  </w:style>
  <w:style w:type="paragraph" w:customStyle="1" w:styleId="118">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9">
    <w:name w:val="标准文件_英文图表脚注"/>
    <w:basedOn w:val="66"/>
    <w:qFormat/>
    <w:uiPriority w:val="0"/>
    <w:pPr>
      <w:widowControl/>
      <w:adjustRightInd/>
      <w:snapToGrid/>
      <w:spacing w:line="240" w:lineRule="auto"/>
      <w:ind w:left="79" w:hanging="79" w:hangingChars="80"/>
    </w:pPr>
    <w:rPr>
      <w:rFonts w:ascii="宋体" w:hAnsi="宋体"/>
    </w:rPr>
  </w:style>
  <w:style w:type="paragraph" w:customStyle="1" w:styleId="120">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21">
    <w:name w:val="标准文件_英文注："/>
    <w:basedOn w:val="1"/>
    <w:next w:val="67"/>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22">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23">
    <w:name w:val="标准文件_正文表标题"/>
    <w:next w:val="67"/>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24">
    <w:name w:val="标准文件_正文公式"/>
    <w:basedOn w:val="1"/>
    <w:next w:val="66"/>
    <w:qFormat/>
    <w:uiPriority w:val="0"/>
    <w:pPr>
      <w:tabs>
        <w:tab w:val="center" w:pos="4678"/>
        <w:tab w:val="right" w:leader="middleDot" w:pos="9356"/>
      </w:tabs>
      <w:spacing w:line="240" w:lineRule="auto"/>
    </w:pPr>
    <w:rPr>
      <w:rFonts w:ascii="宋体" w:hAnsi="宋体"/>
    </w:rPr>
  </w:style>
  <w:style w:type="paragraph" w:customStyle="1" w:styleId="125">
    <w:name w:val="标准文件_正文图标题"/>
    <w:next w:val="67"/>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26">
    <w:name w:val="标准文件_正文英文表标题"/>
    <w:next w:val="67"/>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7">
    <w:name w:val="标准文件_正文英文图标题"/>
    <w:next w:val="67"/>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8">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9">
    <w:name w:val="二级无标题条"/>
    <w:basedOn w:val="1"/>
    <w:qFormat/>
    <w:uiPriority w:val="0"/>
    <w:pPr>
      <w:numPr>
        <w:ilvl w:val="3"/>
        <w:numId w:val="20"/>
      </w:numPr>
      <w:adjustRightInd/>
      <w:spacing w:line="240" w:lineRule="auto"/>
    </w:pPr>
    <w:rPr>
      <w:rFonts w:ascii="宋体" w:hAnsi="宋体"/>
      <w:szCs w:val="24"/>
    </w:rPr>
  </w:style>
  <w:style w:type="paragraph" w:customStyle="1" w:styleId="130">
    <w:name w:val="发布部门"/>
    <w:next w:val="67"/>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31">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32">
    <w:name w:val="封面标准代替信息"/>
    <w:basedOn w:val="1"/>
    <w:qFormat/>
    <w:uiPriority w:val="0"/>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33">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34">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35">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6">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7">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8">
    <w:name w:val="封面正文"/>
    <w:qFormat/>
    <w:uiPriority w:val="0"/>
    <w:pPr>
      <w:jc w:val="both"/>
    </w:pPr>
    <w:rPr>
      <w:rFonts w:ascii="Times New Roman" w:hAnsi="Times New Roman" w:eastAsia="宋体" w:cs="Times New Roman"/>
      <w:lang w:val="en-US" w:eastAsia="zh-CN" w:bidi="ar-SA"/>
    </w:rPr>
  </w:style>
  <w:style w:type="paragraph" w:customStyle="1" w:styleId="139">
    <w:name w:val="附录二级无标题条"/>
    <w:basedOn w:val="1"/>
    <w:next w:val="67"/>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40">
    <w:name w:val="附录三级无标题条"/>
    <w:basedOn w:val="139"/>
    <w:next w:val="67"/>
    <w:qFormat/>
    <w:uiPriority w:val="0"/>
    <w:pPr>
      <w:outlineLvl w:val="4"/>
    </w:pPr>
  </w:style>
  <w:style w:type="paragraph" w:customStyle="1" w:styleId="141">
    <w:name w:val="附录四级无标题条"/>
    <w:basedOn w:val="140"/>
    <w:next w:val="67"/>
    <w:qFormat/>
    <w:uiPriority w:val="0"/>
    <w:pPr>
      <w:outlineLvl w:val="5"/>
    </w:pPr>
  </w:style>
  <w:style w:type="paragraph" w:customStyle="1" w:styleId="142">
    <w:name w:val="附录图"/>
    <w:next w:val="67"/>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43">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44">
    <w:name w:val="附录五级无标题条"/>
    <w:basedOn w:val="141"/>
    <w:next w:val="67"/>
    <w:qFormat/>
    <w:uiPriority w:val="0"/>
    <w:pPr>
      <w:outlineLvl w:val="6"/>
    </w:pPr>
  </w:style>
  <w:style w:type="paragraph" w:customStyle="1" w:styleId="145">
    <w:name w:val="附录性质"/>
    <w:basedOn w:val="1"/>
    <w:qFormat/>
    <w:uiPriority w:val="0"/>
    <w:pPr>
      <w:widowControl/>
      <w:adjustRightInd/>
      <w:jc w:val="center"/>
    </w:pPr>
    <w:rPr>
      <w:rFonts w:ascii="黑体" w:eastAsia="黑体"/>
    </w:rPr>
  </w:style>
  <w:style w:type="paragraph" w:customStyle="1" w:styleId="146">
    <w:name w:val="附录一级无标题条"/>
    <w:basedOn w:val="98"/>
    <w:next w:val="67"/>
    <w:qFormat/>
    <w:uiPriority w:val="0"/>
    <w:pPr>
      <w:autoSpaceDN w:val="0"/>
      <w:outlineLvl w:val="2"/>
    </w:pPr>
    <w:rPr>
      <w:rFonts w:ascii="宋体" w:hAnsi="宋体" w:eastAsia="宋体"/>
    </w:rPr>
  </w:style>
  <w:style w:type="character" w:customStyle="1" w:styleId="147">
    <w:name w:val="个人答复风格"/>
    <w:qFormat/>
    <w:uiPriority w:val="0"/>
    <w:rPr>
      <w:rFonts w:ascii="Arial" w:hAnsi="Arial" w:eastAsia="宋体" w:cs="Arial"/>
      <w:color w:val="auto"/>
      <w:spacing w:val="0"/>
      <w:sz w:val="20"/>
    </w:rPr>
  </w:style>
  <w:style w:type="character" w:customStyle="1" w:styleId="148">
    <w:name w:val="个人撰写风格"/>
    <w:qFormat/>
    <w:uiPriority w:val="0"/>
    <w:rPr>
      <w:rFonts w:ascii="Arial" w:hAnsi="Arial" w:eastAsia="宋体" w:cs="Arial"/>
      <w:color w:val="auto"/>
      <w:spacing w:val="0"/>
      <w:sz w:val="20"/>
    </w:rPr>
  </w:style>
  <w:style w:type="paragraph" w:customStyle="1" w:styleId="149">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50">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51">
    <w:name w:val="列项·"/>
    <w:basedOn w:val="67"/>
    <w:qFormat/>
    <w:uiPriority w:val="0"/>
    <w:pPr>
      <w:tabs>
        <w:tab w:val="left" w:pos="840"/>
      </w:tabs>
    </w:pPr>
  </w:style>
  <w:style w:type="paragraph" w:customStyle="1" w:styleId="152">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53">
    <w:name w:val="目录 21"/>
    <w:basedOn w:val="1"/>
    <w:next w:val="1"/>
    <w:semiHidden/>
    <w:qFormat/>
    <w:uiPriority w:val="0"/>
    <w:pPr>
      <w:adjustRightInd/>
      <w:spacing w:line="240" w:lineRule="auto"/>
      <w:jc w:val="left"/>
    </w:pPr>
    <w:rPr>
      <w:bCs/>
      <w:iCs/>
    </w:rPr>
  </w:style>
  <w:style w:type="paragraph" w:customStyle="1" w:styleId="154">
    <w:name w:val="目录 31"/>
    <w:basedOn w:val="1"/>
    <w:next w:val="1"/>
    <w:semiHidden/>
    <w:qFormat/>
    <w:uiPriority w:val="0"/>
    <w:pPr>
      <w:spacing w:line="240" w:lineRule="auto"/>
    </w:pPr>
    <w:rPr>
      <w:rFonts w:ascii="宋体" w:hAnsi="宋体"/>
      <w:iCs/>
    </w:rPr>
  </w:style>
  <w:style w:type="paragraph" w:customStyle="1" w:styleId="155">
    <w:name w:val="目录 41"/>
    <w:basedOn w:val="1"/>
    <w:next w:val="1"/>
    <w:semiHidden/>
    <w:qFormat/>
    <w:uiPriority w:val="0"/>
    <w:pPr>
      <w:adjustRightInd/>
      <w:spacing w:line="240" w:lineRule="auto"/>
      <w:jc w:val="left"/>
    </w:pPr>
  </w:style>
  <w:style w:type="paragraph" w:customStyle="1" w:styleId="156">
    <w:name w:val="目录 51"/>
    <w:basedOn w:val="1"/>
    <w:next w:val="1"/>
    <w:semiHidden/>
    <w:qFormat/>
    <w:uiPriority w:val="0"/>
    <w:pPr>
      <w:spacing w:line="240" w:lineRule="auto"/>
    </w:pPr>
    <w:rPr>
      <w:rFonts w:ascii="宋体" w:hAnsi="宋体"/>
    </w:rPr>
  </w:style>
  <w:style w:type="paragraph" w:customStyle="1" w:styleId="157">
    <w:name w:val="目录 61"/>
    <w:basedOn w:val="1"/>
    <w:next w:val="1"/>
    <w:semiHidden/>
    <w:qFormat/>
    <w:uiPriority w:val="0"/>
    <w:pPr>
      <w:adjustRightInd/>
      <w:spacing w:line="240" w:lineRule="auto"/>
      <w:jc w:val="left"/>
    </w:pPr>
  </w:style>
  <w:style w:type="paragraph" w:customStyle="1" w:styleId="158">
    <w:name w:val="目录 71"/>
    <w:basedOn w:val="157"/>
    <w:semiHidden/>
    <w:qFormat/>
    <w:uiPriority w:val="0"/>
    <w:pPr>
      <w:ind w:left="1260"/>
    </w:pPr>
  </w:style>
  <w:style w:type="paragraph" w:customStyle="1" w:styleId="159">
    <w:name w:val="目录 81"/>
    <w:basedOn w:val="158"/>
    <w:semiHidden/>
    <w:qFormat/>
    <w:uiPriority w:val="0"/>
    <w:pPr>
      <w:ind w:left="1470"/>
    </w:pPr>
  </w:style>
  <w:style w:type="paragraph" w:customStyle="1" w:styleId="160">
    <w:name w:val="目录 91"/>
    <w:basedOn w:val="159"/>
    <w:semiHidden/>
    <w:qFormat/>
    <w:uiPriority w:val="0"/>
    <w:pPr>
      <w:ind w:left="1680"/>
    </w:pPr>
  </w:style>
  <w:style w:type="paragraph" w:customStyle="1" w:styleId="161">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62">
    <w:name w:val="其他发布部门"/>
    <w:basedOn w:val="130"/>
    <w:qFormat/>
    <w:uiPriority w:val="0"/>
    <w:pPr>
      <w:spacing w:line="0" w:lineRule="atLeast"/>
    </w:pPr>
    <w:rPr>
      <w:rFonts w:ascii="黑体" w:eastAsia="黑体"/>
      <w:b w:val="0"/>
    </w:rPr>
  </w:style>
  <w:style w:type="paragraph" w:customStyle="1" w:styleId="163">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64">
    <w:name w:val="三级无标题条"/>
    <w:basedOn w:val="1"/>
    <w:qFormat/>
    <w:uiPriority w:val="0"/>
    <w:pPr>
      <w:numPr>
        <w:ilvl w:val="4"/>
        <w:numId w:val="20"/>
      </w:numPr>
      <w:adjustRightInd/>
      <w:spacing w:line="240" w:lineRule="auto"/>
    </w:pPr>
    <w:rPr>
      <w:rFonts w:ascii="宋体" w:hAnsi="宋体"/>
      <w:szCs w:val="24"/>
    </w:rPr>
  </w:style>
  <w:style w:type="paragraph" w:customStyle="1" w:styleId="165">
    <w:name w:val="实施日期"/>
    <w:basedOn w:val="131"/>
    <w:qFormat/>
    <w:uiPriority w:val="0"/>
    <w:pPr>
      <w:framePr w:hSpace="0" w:xAlign="right"/>
      <w:jc w:val="right"/>
    </w:pPr>
  </w:style>
  <w:style w:type="paragraph" w:customStyle="1" w:styleId="166">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7">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8">
    <w:name w:val="无标题条"/>
    <w:next w:val="67"/>
    <w:qFormat/>
    <w:uiPriority w:val="0"/>
    <w:pPr>
      <w:jc w:val="both"/>
    </w:pPr>
    <w:rPr>
      <w:rFonts w:ascii="宋体" w:hAnsi="宋体" w:eastAsia="宋体" w:cs="Times New Roman"/>
      <w:sz w:val="21"/>
      <w:lang w:val="en-US" w:eastAsia="zh-CN" w:bidi="ar-SA"/>
    </w:rPr>
  </w:style>
  <w:style w:type="paragraph" w:customStyle="1" w:styleId="169">
    <w:name w:val="五级无标题条"/>
    <w:basedOn w:val="1"/>
    <w:qFormat/>
    <w:uiPriority w:val="0"/>
    <w:pPr>
      <w:numPr>
        <w:ilvl w:val="6"/>
        <w:numId w:val="20"/>
      </w:numPr>
      <w:adjustRightInd/>
    </w:pPr>
    <w:rPr>
      <w:szCs w:val="24"/>
    </w:rPr>
  </w:style>
  <w:style w:type="paragraph" w:customStyle="1" w:styleId="170">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71">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72">
    <w:name w:val="注×:后续"/>
    <w:basedOn w:val="171"/>
    <w:qFormat/>
    <w:uiPriority w:val="0"/>
    <w:pPr>
      <w:ind w:left="1406" w:leftChars="0" w:hanging="499" w:firstLineChars="0"/>
    </w:pPr>
  </w:style>
  <w:style w:type="paragraph" w:customStyle="1" w:styleId="173">
    <w:name w:val="标准文件_一级无标题"/>
    <w:basedOn w:val="116"/>
    <w:qFormat/>
    <w:uiPriority w:val="0"/>
    <w:pPr>
      <w:spacing w:before="0" w:beforeLines="0" w:after="0" w:afterLines="0"/>
      <w:outlineLvl w:val="9"/>
    </w:pPr>
    <w:rPr>
      <w:rFonts w:ascii="宋体" w:eastAsia="宋体"/>
    </w:rPr>
  </w:style>
  <w:style w:type="paragraph" w:customStyle="1" w:styleId="174">
    <w:name w:val="标准文件_五级无标题"/>
    <w:basedOn w:val="114"/>
    <w:qFormat/>
    <w:uiPriority w:val="0"/>
    <w:pPr>
      <w:spacing w:before="0" w:beforeLines="0" w:after="0" w:afterLines="0"/>
      <w:outlineLvl w:val="9"/>
    </w:pPr>
    <w:rPr>
      <w:rFonts w:ascii="宋体" w:eastAsia="宋体"/>
    </w:rPr>
  </w:style>
  <w:style w:type="paragraph" w:customStyle="1" w:styleId="175">
    <w:name w:val="标准文件_三级无标题"/>
    <w:basedOn w:val="105"/>
    <w:qFormat/>
    <w:uiPriority w:val="0"/>
    <w:pPr>
      <w:spacing w:before="0" w:beforeLines="0" w:after="0" w:afterLines="0"/>
      <w:outlineLvl w:val="9"/>
    </w:pPr>
    <w:rPr>
      <w:rFonts w:ascii="宋体" w:eastAsia="宋体"/>
    </w:rPr>
  </w:style>
  <w:style w:type="paragraph" w:customStyle="1" w:styleId="176">
    <w:name w:val="标准文件_二级无标题"/>
    <w:basedOn w:val="76"/>
    <w:qFormat/>
    <w:uiPriority w:val="0"/>
    <w:pPr>
      <w:spacing w:before="0" w:beforeLines="0" w:after="0" w:afterLines="0"/>
      <w:outlineLvl w:val="9"/>
    </w:pPr>
    <w:rPr>
      <w:rFonts w:ascii="宋体" w:eastAsia="宋体"/>
    </w:rPr>
  </w:style>
  <w:style w:type="paragraph" w:customStyle="1" w:styleId="177">
    <w:name w:val="标准_四级无标题"/>
    <w:basedOn w:val="109"/>
    <w:next w:val="67"/>
    <w:qFormat/>
    <w:uiPriority w:val="0"/>
    <w:rPr>
      <w:rFonts w:eastAsia="宋体"/>
    </w:rPr>
  </w:style>
  <w:style w:type="paragraph" w:customStyle="1" w:styleId="178">
    <w:name w:val="标准文件_四级无标题"/>
    <w:basedOn w:val="109"/>
    <w:qFormat/>
    <w:uiPriority w:val="0"/>
    <w:pPr>
      <w:spacing w:before="0" w:beforeLines="0" w:after="0" w:afterLines="0"/>
      <w:outlineLvl w:val="9"/>
    </w:pPr>
    <w:rPr>
      <w:rFonts w:ascii="宋体" w:hAnsi="黑体" w:eastAsia="宋体"/>
      <w:szCs w:val="52"/>
    </w:rPr>
  </w:style>
  <w:style w:type="paragraph" w:customStyle="1" w:styleId="179">
    <w:name w:val="标准文件_大写罗马数字编号列项"/>
    <w:basedOn w:val="67"/>
    <w:qFormat/>
    <w:uiPriority w:val="0"/>
    <w:pPr>
      <w:numPr>
        <w:ilvl w:val="0"/>
        <w:numId w:val="23"/>
      </w:numPr>
      <w:ind w:firstLine="0" w:firstLineChars="0"/>
    </w:pPr>
    <w:rPr>
      <w:rFonts w:ascii="Times New Roman" w:cs="Arial"/>
      <w:szCs w:val="28"/>
    </w:rPr>
  </w:style>
  <w:style w:type="paragraph" w:customStyle="1" w:styleId="180">
    <w:name w:val="标准文件_小写罗马数字编号列项"/>
    <w:basedOn w:val="67"/>
    <w:qFormat/>
    <w:uiPriority w:val="0"/>
    <w:pPr>
      <w:numPr>
        <w:ilvl w:val="0"/>
        <w:numId w:val="24"/>
      </w:numPr>
      <w:ind w:firstLine="0" w:firstLineChars="0"/>
    </w:pPr>
    <w:rPr>
      <w:rFonts w:cs="Arial"/>
      <w:szCs w:val="28"/>
    </w:rPr>
  </w:style>
  <w:style w:type="paragraph" w:customStyle="1" w:styleId="181">
    <w:name w:val="标准文件_附录标题"/>
    <w:basedOn w:val="87"/>
    <w:qFormat/>
    <w:uiPriority w:val="0"/>
    <w:pPr>
      <w:numPr>
        <w:numId w:val="0"/>
      </w:numPr>
      <w:spacing w:after="280"/>
      <w:outlineLvl w:val="9"/>
    </w:pPr>
  </w:style>
  <w:style w:type="paragraph" w:customStyle="1" w:styleId="182">
    <w:name w:val="标准文件_二级项"/>
    <w:uiPriority w:val="0"/>
    <w:rPr>
      <w:rFonts w:ascii="宋体" w:hAnsi="Times New Roman" w:eastAsia="宋体" w:cs="Times New Roman"/>
      <w:sz w:val="21"/>
      <w:lang w:val="en-US" w:eastAsia="zh-CN" w:bidi="ar-SA"/>
    </w:rPr>
  </w:style>
  <w:style w:type="paragraph" w:customStyle="1" w:styleId="183">
    <w:name w:val="标准文件_三级项"/>
    <w:basedOn w:val="1"/>
    <w:qFormat/>
    <w:uiPriority w:val="0"/>
    <w:pPr>
      <w:numPr>
        <w:ilvl w:val="2"/>
        <w:numId w:val="21"/>
      </w:numPr>
      <w:spacing w:line="536870612" w:lineRule="auto"/>
    </w:pPr>
    <w:rPr>
      <w:rFonts w:ascii="Times New Roman" w:hAnsi="Times New Roman"/>
    </w:rPr>
  </w:style>
  <w:style w:type="paragraph" w:customStyle="1" w:styleId="184">
    <w:name w:val="图表脚注说明"/>
    <w:basedOn w:val="1"/>
    <w:next w:val="67"/>
    <w:uiPriority w:val="0"/>
    <w:pPr>
      <w:numPr>
        <w:ilvl w:val="0"/>
        <w:numId w:val="25"/>
      </w:numPr>
      <w:adjustRightInd/>
      <w:spacing w:line="240" w:lineRule="auto"/>
      <w:ind w:left="783"/>
    </w:pPr>
    <w:rPr>
      <w:rFonts w:ascii="宋体" w:hAnsi="Times New Roman"/>
      <w:sz w:val="18"/>
      <w:szCs w:val="18"/>
    </w:rPr>
  </w:style>
  <w:style w:type="paragraph" w:customStyle="1" w:styleId="185">
    <w:name w:val="标准文件_字母编号列项（一级）"/>
    <w:uiPriority w:val="0"/>
    <w:pPr>
      <w:numPr>
        <w:ilvl w:val="0"/>
        <w:numId w:val="13"/>
      </w:numPr>
      <w:jc w:val="both"/>
    </w:pPr>
    <w:rPr>
      <w:rFonts w:ascii="宋体" w:hAnsi="Times New Roman" w:eastAsia="宋体" w:cs="Times New Roman"/>
      <w:sz w:val="21"/>
      <w:lang w:val="en-US" w:eastAsia="zh-CN" w:bidi="ar-SA"/>
    </w:rPr>
  </w:style>
  <w:style w:type="paragraph" w:customStyle="1" w:styleId="186">
    <w:name w:val="标准文件_索引字母"/>
    <w:next w:val="67"/>
    <w:qFormat/>
    <w:uiPriority w:val="0"/>
    <w:pPr>
      <w:jc w:val="center"/>
    </w:pPr>
    <w:rPr>
      <w:rFonts w:ascii="宋体" w:hAnsi="宋体" w:eastAsia="Times New Roman" w:cs="Times New Roman"/>
      <w:b/>
      <w:kern w:val="2"/>
      <w:sz w:val="21"/>
      <w:lang w:val="en-US" w:eastAsia="zh-CN" w:bidi="ar-SA"/>
    </w:rPr>
  </w:style>
  <w:style w:type="paragraph" w:customStyle="1" w:styleId="187">
    <w:name w:val="标准文件_附录前"/>
    <w:next w:val="67"/>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8">
    <w:name w:val="标准文件_正文标准名称"/>
    <w:qFormat/>
    <w:uiPriority w:val="0"/>
    <w:pPr>
      <w:spacing w:before="20" w:beforeLines="20" w:after="640" w:line="400" w:lineRule="exact"/>
      <w:jc w:val="center"/>
    </w:pPr>
    <w:rPr>
      <w:rFonts w:ascii="黑体" w:hAnsi="黑体" w:eastAsia="黑体" w:cs="Times New Roman"/>
      <w:kern w:val="2"/>
      <w:sz w:val="32"/>
      <w:szCs w:val="32"/>
      <w:lang w:val="en-US" w:eastAsia="zh-CN" w:bidi="ar-SA"/>
    </w:rPr>
  </w:style>
  <w:style w:type="paragraph" w:customStyle="1" w:styleId="189">
    <w:name w:val="标准文件_表格"/>
    <w:basedOn w:val="67"/>
    <w:qFormat/>
    <w:uiPriority w:val="0"/>
    <w:pPr>
      <w:ind w:firstLine="0" w:firstLineChars="0"/>
      <w:jc w:val="center"/>
    </w:pPr>
    <w:rPr>
      <w:sz w:val="18"/>
    </w:rPr>
  </w:style>
  <w:style w:type="paragraph" w:customStyle="1" w:styleId="190">
    <w:name w:val="标准文件_注："/>
    <w:next w:val="67"/>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91">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92">
    <w:name w:val="标准文件_示例："/>
    <w:next w:val="193"/>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93">
    <w:name w:val="标准文件_示例内容"/>
    <w:basedOn w:val="67"/>
    <w:qFormat/>
    <w:uiPriority w:val="0"/>
    <w:pPr>
      <w:ind w:firstLine="420"/>
    </w:pPr>
    <w:rPr>
      <w:sz w:val="18"/>
    </w:rPr>
  </w:style>
  <w:style w:type="paragraph" w:customStyle="1" w:styleId="194">
    <w:name w:val="标准文件_示例×："/>
    <w:basedOn w:val="1"/>
    <w:next w:val="193"/>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95">
    <w:name w:val="标准文件_段 Char"/>
    <w:link w:val="67"/>
    <w:qFormat/>
    <w:uiPriority w:val="0"/>
    <w:rPr>
      <w:rFonts w:ascii="宋体" w:hAnsi="Times New Roman"/>
      <w:sz w:val="21"/>
    </w:rPr>
  </w:style>
  <w:style w:type="paragraph" w:customStyle="1" w:styleId="196">
    <w:name w:val="标准文件_表格续"/>
    <w:basedOn w:val="67"/>
    <w:next w:val="67"/>
    <w:qFormat/>
    <w:uiPriority w:val="0"/>
    <w:pPr>
      <w:jc w:val="center"/>
    </w:pPr>
    <w:rPr>
      <w:rFonts w:ascii="黑体" w:hAnsi="黑体" w:eastAsia="黑体"/>
    </w:rPr>
  </w:style>
  <w:style w:type="character" w:styleId="197">
    <w:name w:val="Placeholder Text"/>
    <w:basedOn w:val="38"/>
    <w:semiHidden/>
    <w:uiPriority w:val="99"/>
    <w:rPr>
      <w:color w:val="808080"/>
    </w:rPr>
  </w:style>
  <w:style w:type="paragraph" w:customStyle="1" w:styleId="198">
    <w:name w:val="标准文件_二级项2"/>
    <w:basedOn w:val="67"/>
    <w:qFormat/>
    <w:uiPriority w:val="0"/>
    <w:pPr>
      <w:numPr>
        <w:ilvl w:val="1"/>
        <w:numId w:val="21"/>
      </w:numPr>
      <w:ind w:left="1271" w:hanging="420" w:firstLineChars="0"/>
    </w:pPr>
  </w:style>
  <w:style w:type="paragraph" w:customStyle="1" w:styleId="199">
    <w:name w:val="标准文件_三级项2"/>
    <w:basedOn w:val="67"/>
    <w:qFormat/>
    <w:uiPriority w:val="0"/>
    <w:pPr>
      <w:numPr>
        <w:ilvl w:val="0"/>
        <w:numId w:val="30"/>
      </w:numPr>
      <w:spacing w:line="300" w:lineRule="exact"/>
      <w:ind w:left="1276" w:hanging="425" w:firstLineChars="0"/>
    </w:pPr>
    <w:rPr>
      <w:rFonts w:ascii="Times New Roman"/>
    </w:rPr>
  </w:style>
  <w:style w:type="paragraph" w:customStyle="1" w:styleId="200">
    <w:name w:val="标准文件_一级项2"/>
    <w:basedOn w:val="67"/>
    <w:qFormat/>
    <w:uiPriority w:val="0"/>
    <w:pPr>
      <w:numPr>
        <w:ilvl w:val="0"/>
        <w:numId w:val="31"/>
      </w:numPr>
      <w:spacing w:line="300" w:lineRule="exact"/>
      <w:ind w:left="1271" w:hanging="420" w:firstLineChars="0"/>
    </w:pPr>
    <w:rPr>
      <w:rFonts w:ascii="Times New Roman"/>
    </w:rPr>
  </w:style>
  <w:style w:type="paragraph" w:customStyle="1" w:styleId="201">
    <w:name w:val="标准文件_提示"/>
    <w:basedOn w:val="67"/>
    <w:next w:val="67"/>
    <w:qFormat/>
    <w:uiPriority w:val="0"/>
    <w:pPr>
      <w:ind w:firstLine="420"/>
    </w:pPr>
    <w:rPr>
      <w:rFonts w:ascii="黑体" w:eastAsia="黑体"/>
    </w:rPr>
  </w:style>
  <w:style w:type="character" w:customStyle="1" w:styleId="202">
    <w:name w:val="标准文件_来源"/>
    <w:basedOn w:val="38"/>
    <w:qFormat/>
    <w:uiPriority w:val="1"/>
    <w:rPr>
      <w:rFonts w:eastAsia="宋体"/>
      <w:sz w:val="21"/>
    </w:rPr>
  </w:style>
  <w:style w:type="paragraph" w:customStyle="1" w:styleId="203">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204">
    <w:name w:val="其他发布日期"/>
    <w:basedOn w:val="131"/>
    <w:qFormat/>
    <w:uiPriority w:val="0"/>
    <w:pPr>
      <w:framePr w:w="3997" w:h="471" w:hRule="exact" w:hSpace="0" w:vSpace="181" w:vAnchor="page" w:hAnchor="page" w:x="1419" w:y="14097"/>
    </w:pPr>
  </w:style>
  <w:style w:type="paragraph" w:customStyle="1" w:styleId="205">
    <w:name w:val="其他实施日期"/>
    <w:basedOn w:val="165"/>
    <w:qFormat/>
    <w:uiPriority w:val="0"/>
    <w:pPr>
      <w:framePr w:w="3997" w:h="471" w:hRule="exact" w:vSpace="181" w:vAnchor="page" w:hAnchor="page" w:x="7089" w:y="14097"/>
    </w:pPr>
  </w:style>
  <w:style w:type="paragraph" w:customStyle="1" w:styleId="206">
    <w:name w:val="标准文件_文件编号"/>
    <w:basedOn w:val="67"/>
    <w:qFormat/>
    <w:uiPriority w:val="0"/>
    <w:pPr>
      <w:framePr w:w="9356" w:h="624" w:hRule="exact" w:hSpace="181" w:vSpace="181" w:wrap="around" w:vAnchor="page" w:hAnchor="page" w:x="1419" w:y="3284"/>
      <w:wordWrap w:val="0"/>
      <w:spacing w:line="280" w:lineRule="exact"/>
      <w:ind w:firstLine="0" w:firstLineChars="0"/>
      <w:jc w:val="right"/>
    </w:pPr>
    <w:rPr>
      <w:rFonts w:ascii="黑体" w:eastAsia="黑体"/>
      <w:bCs/>
      <w:sz w:val="28"/>
      <w:szCs w:val="28"/>
    </w:rPr>
  </w:style>
  <w:style w:type="paragraph" w:customStyle="1" w:styleId="207">
    <w:name w:val="标准文件_替换文件编号"/>
    <w:basedOn w:val="206"/>
    <w:qFormat/>
    <w:uiPriority w:val="0"/>
    <w:pPr>
      <w:spacing w:before="57"/>
    </w:pPr>
    <w:rPr>
      <w:sz w:val="21"/>
    </w:rPr>
  </w:style>
  <w:style w:type="paragraph" w:customStyle="1" w:styleId="208">
    <w:name w:val="标准文件_文件名称"/>
    <w:basedOn w:val="67"/>
    <w:next w:val="67"/>
    <w:qFormat/>
    <w:uiPriority w:val="0"/>
    <w:pPr>
      <w:framePr w:w="9639" w:h="6976" w:hRule="exact" w:wrap="around" w:vAnchor="page" w:hAnchor="page" w:y="6408"/>
      <w:autoSpaceDE/>
      <w:autoSpaceDN/>
      <w:spacing w:line="700" w:lineRule="exact"/>
      <w:ind w:firstLine="0" w:firstLineChars="0"/>
      <w:jc w:val="center"/>
    </w:pPr>
    <w:rPr>
      <w:rFonts w:ascii="黑体" w:hAnsi="黑体" w:eastAsia="黑体"/>
      <w:bCs/>
      <w:sz w:val="52"/>
    </w:rPr>
  </w:style>
  <w:style w:type="paragraph" w:customStyle="1" w:styleId="209">
    <w:name w:val="标准文件_附录图标号"/>
    <w:basedOn w:val="67"/>
    <w:next w:val="67"/>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10">
    <w:name w:val="标准文件_附录表标号"/>
    <w:basedOn w:val="67"/>
    <w:next w:val="67"/>
    <w:qFormat/>
    <w:uiPriority w:val="0"/>
    <w:pPr>
      <w:numPr>
        <w:ilvl w:val="0"/>
        <w:numId w:val="5"/>
      </w:numPr>
      <w:spacing w:line="14" w:lineRule="exact"/>
      <w:ind w:firstLine="0" w:firstLineChars="0"/>
      <w:jc w:val="center"/>
    </w:pPr>
    <w:rPr>
      <w:rFonts w:eastAsia="黑体"/>
      <w:vanish/>
      <w:sz w:val="2"/>
    </w:rPr>
  </w:style>
  <w:style w:type="paragraph" w:customStyle="1" w:styleId="211">
    <w:name w:val="标准文件_引言一级条标题"/>
    <w:basedOn w:val="67"/>
    <w:next w:val="67"/>
    <w:qFormat/>
    <w:uiPriority w:val="0"/>
    <w:pPr>
      <w:numPr>
        <w:ilvl w:val="1"/>
        <w:numId w:val="8"/>
      </w:numPr>
      <w:spacing w:before="50" w:beforeLines="50" w:after="50" w:afterLines="50"/>
      <w:ind w:firstLineChars="0"/>
    </w:pPr>
    <w:rPr>
      <w:rFonts w:ascii="黑体" w:eastAsia="黑体"/>
    </w:rPr>
  </w:style>
  <w:style w:type="paragraph" w:customStyle="1" w:styleId="212">
    <w:name w:val="标准文件_引言二级条标题"/>
    <w:basedOn w:val="67"/>
    <w:next w:val="67"/>
    <w:qFormat/>
    <w:uiPriority w:val="0"/>
    <w:pPr>
      <w:numPr>
        <w:ilvl w:val="2"/>
        <w:numId w:val="8"/>
      </w:numPr>
      <w:spacing w:before="50" w:beforeLines="50" w:after="50" w:afterLines="50"/>
      <w:ind w:firstLineChars="0"/>
    </w:pPr>
    <w:rPr>
      <w:rFonts w:ascii="黑体" w:eastAsia="黑体"/>
    </w:rPr>
  </w:style>
  <w:style w:type="paragraph" w:customStyle="1" w:styleId="213">
    <w:name w:val="标准文件_引言三级条标题"/>
    <w:basedOn w:val="67"/>
    <w:next w:val="67"/>
    <w:qFormat/>
    <w:uiPriority w:val="0"/>
    <w:pPr>
      <w:numPr>
        <w:ilvl w:val="3"/>
        <w:numId w:val="8"/>
      </w:numPr>
      <w:spacing w:before="50" w:beforeLines="50" w:after="50" w:afterLines="50"/>
      <w:ind w:firstLineChars="0"/>
    </w:pPr>
    <w:rPr>
      <w:rFonts w:ascii="黑体" w:eastAsia="黑体"/>
    </w:rPr>
  </w:style>
  <w:style w:type="paragraph" w:customStyle="1" w:styleId="214">
    <w:name w:val="标准文件_引言四级条标题"/>
    <w:basedOn w:val="67"/>
    <w:next w:val="67"/>
    <w:qFormat/>
    <w:uiPriority w:val="0"/>
    <w:pPr>
      <w:numPr>
        <w:ilvl w:val="4"/>
        <w:numId w:val="8"/>
      </w:numPr>
      <w:spacing w:before="50" w:beforeLines="50" w:after="50" w:afterLines="50"/>
      <w:ind w:firstLineChars="0"/>
    </w:pPr>
    <w:rPr>
      <w:rFonts w:ascii="黑体" w:eastAsia="黑体"/>
    </w:rPr>
  </w:style>
  <w:style w:type="paragraph" w:customStyle="1" w:styleId="215">
    <w:name w:val="标准文件_引言五级条标题"/>
    <w:basedOn w:val="67"/>
    <w:next w:val="67"/>
    <w:qFormat/>
    <w:uiPriority w:val="0"/>
    <w:pPr>
      <w:numPr>
        <w:ilvl w:val="5"/>
        <w:numId w:val="8"/>
      </w:numPr>
      <w:spacing w:before="50" w:beforeLines="50" w:after="50" w:afterLines="50"/>
      <w:ind w:firstLineChars="0"/>
    </w:pPr>
    <w:rPr>
      <w:rFonts w:ascii="黑体" w:eastAsia="黑体"/>
    </w:rPr>
  </w:style>
  <w:style w:type="paragraph" w:customStyle="1" w:styleId="216">
    <w:name w:val="标准文件_注后"/>
    <w:basedOn w:val="67"/>
    <w:qFormat/>
    <w:uiPriority w:val="0"/>
    <w:pPr>
      <w:ind w:left="811" w:firstLine="0" w:firstLineChars="0"/>
    </w:pPr>
    <w:rPr>
      <w:sz w:val="18"/>
    </w:rPr>
  </w:style>
  <w:style w:type="paragraph" w:customStyle="1" w:styleId="217">
    <w:name w:val="标准文件_注X后"/>
    <w:basedOn w:val="67"/>
    <w:qFormat/>
    <w:uiPriority w:val="0"/>
    <w:pPr>
      <w:ind w:left="811" w:firstLine="0" w:firstLineChars="0"/>
    </w:pPr>
    <w:rPr>
      <w:sz w:val="18"/>
    </w:rPr>
  </w:style>
  <w:style w:type="paragraph" w:customStyle="1" w:styleId="218">
    <w:name w:val="标准文件_示例后"/>
    <w:basedOn w:val="67"/>
    <w:qFormat/>
    <w:uiPriority w:val="0"/>
    <w:pPr>
      <w:ind w:left="964" w:firstLine="0" w:firstLineChars="0"/>
    </w:pPr>
    <w:rPr>
      <w:sz w:val="18"/>
    </w:rPr>
  </w:style>
  <w:style w:type="paragraph" w:customStyle="1" w:styleId="219">
    <w:name w:val="标准文件_示例X后"/>
    <w:basedOn w:val="67"/>
    <w:link w:val="220"/>
    <w:qFormat/>
    <w:uiPriority w:val="0"/>
    <w:pPr>
      <w:ind w:left="1049" w:firstLine="0" w:firstLineChars="0"/>
    </w:pPr>
    <w:rPr>
      <w:sz w:val="18"/>
    </w:rPr>
  </w:style>
  <w:style w:type="character" w:customStyle="1" w:styleId="220">
    <w:name w:val="标准文件_示例X后 字符"/>
    <w:basedOn w:val="195"/>
    <w:link w:val="219"/>
    <w:qFormat/>
    <w:uiPriority w:val="0"/>
    <w:rPr>
      <w:rFonts w:ascii="宋体" w:hAnsi="Times New Roman"/>
      <w:sz w:val="18"/>
    </w:rPr>
  </w:style>
  <w:style w:type="paragraph" w:customStyle="1" w:styleId="221">
    <w:name w:val="标准文件_索引项"/>
    <w:basedOn w:val="67"/>
    <w:next w:val="67"/>
    <w:qFormat/>
    <w:uiPriority w:val="0"/>
    <w:pPr>
      <w:tabs>
        <w:tab w:val="right" w:leader="dot" w:pos="9356"/>
      </w:tabs>
      <w:ind w:left="210" w:hanging="210" w:firstLineChars="0"/>
      <w:jc w:val="left"/>
    </w:pPr>
  </w:style>
  <w:style w:type="paragraph" w:customStyle="1" w:styleId="222">
    <w:name w:val="标准文件_附录一级无标题"/>
    <w:basedOn w:val="89"/>
    <w:qFormat/>
    <w:uiPriority w:val="0"/>
    <w:pPr>
      <w:spacing w:before="0" w:beforeLines="0" w:after="0" w:afterLines="0" w:line="276" w:lineRule="auto"/>
      <w:outlineLvl w:val="9"/>
    </w:pPr>
    <w:rPr>
      <w:rFonts w:ascii="宋体" w:eastAsia="宋体"/>
    </w:rPr>
  </w:style>
  <w:style w:type="paragraph" w:customStyle="1" w:styleId="223">
    <w:name w:val="标准文件_附录二级无标题"/>
    <w:basedOn w:val="90"/>
    <w:qFormat/>
    <w:uiPriority w:val="0"/>
    <w:pPr>
      <w:spacing w:before="0" w:beforeLines="0" w:after="0" w:afterLines="0" w:line="276" w:lineRule="auto"/>
      <w:outlineLvl w:val="9"/>
    </w:pPr>
    <w:rPr>
      <w:rFonts w:ascii="宋体" w:eastAsia="宋体"/>
    </w:rPr>
  </w:style>
  <w:style w:type="paragraph" w:customStyle="1" w:styleId="224">
    <w:name w:val="标准文件_附录三级无标题"/>
    <w:basedOn w:val="92"/>
    <w:qFormat/>
    <w:uiPriority w:val="0"/>
    <w:pPr>
      <w:spacing w:before="0" w:beforeLines="0" w:after="0" w:afterLines="0" w:line="276" w:lineRule="auto"/>
      <w:outlineLvl w:val="9"/>
    </w:pPr>
    <w:rPr>
      <w:rFonts w:ascii="宋体" w:eastAsia="宋体"/>
    </w:rPr>
  </w:style>
  <w:style w:type="paragraph" w:customStyle="1" w:styleId="225">
    <w:name w:val="标准文件_附录四级无标题"/>
    <w:basedOn w:val="93"/>
    <w:qFormat/>
    <w:uiPriority w:val="0"/>
    <w:pPr>
      <w:spacing w:before="0" w:beforeLines="0" w:after="0" w:afterLines="0" w:line="276" w:lineRule="auto"/>
      <w:outlineLvl w:val="9"/>
    </w:pPr>
    <w:rPr>
      <w:rFonts w:ascii="宋体" w:eastAsia="宋体"/>
    </w:rPr>
  </w:style>
  <w:style w:type="paragraph" w:customStyle="1" w:styleId="226">
    <w:name w:val="标准文件_附录五级无标题"/>
    <w:basedOn w:val="95"/>
    <w:qFormat/>
    <w:uiPriority w:val="0"/>
    <w:pPr>
      <w:spacing w:before="0" w:beforeLines="0" w:after="0" w:afterLines="0" w:line="276" w:lineRule="auto"/>
      <w:outlineLvl w:val="9"/>
    </w:pPr>
    <w:rPr>
      <w:rFonts w:ascii="宋体" w:eastAsia="宋体"/>
    </w:rPr>
  </w:style>
  <w:style w:type="paragraph" w:customStyle="1" w:styleId="227">
    <w:name w:val="标准文件_引言一级无标题"/>
    <w:basedOn w:val="211"/>
    <w:next w:val="67"/>
    <w:qFormat/>
    <w:uiPriority w:val="0"/>
    <w:pPr>
      <w:spacing w:before="0" w:beforeLines="0" w:after="0" w:afterLines="0" w:line="276" w:lineRule="auto"/>
    </w:pPr>
    <w:rPr>
      <w:rFonts w:ascii="宋体" w:eastAsia="宋体"/>
    </w:rPr>
  </w:style>
  <w:style w:type="paragraph" w:customStyle="1" w:styleId="228">
    <w:name w:val="标准文件_引言二级无标题"/>
    <w:basedOn w:val="212"/>
    <w:next w:val="67"/>
    <w:qFormat/>
    <w:uiPriority w:val="0"/>
    <w:pPr>
      <w:spacing w:before="0" w:beforeLines="0" w:after="0" w:afterLines="0" w:line="276" w:lineRule="auto"/>
    </w:pPr>
    <w:rPr>
      <w:rFonts w:ascii="宋体" w:eastAsia="宋体"/>
    </w:rPr>
  </w:style>
  <w:style w:type="paragraph" w:customStyle="1" w:styleId="229">
    <w:name w:val="标准文件_引言三级无标题"/>
    <w:basedOn w:val="213"/>
    <w:qFormat/>
    <w:uiPriority w:val="0"/>
    <w:pPr>
      <w:spacing w:before="0" w:beforeLines="0" w:after="0" w:afterLines="0" w:line="276" w:lineRule="auto"/>
    </w:pPr>
    <w:rPr>
      <w:rFonts w:ascii="宋体" w:eastAsia="宋体"/>
    </w:rPr>
  </w:style>
  <w:style w:type="paragraph" w:customStyle="1" w:styleId="230">
    <w:name w:val="标准文件_引言四级无标题"/>
    <w:basedOn w:val="214"/>
    <w:next w:val="67"/>
    <w:qFormat/>
    <w:uiPriority w:val="0"/>
    <w:pPr>
      <w:spacing w:before="0" w:beforeLines="0" w:after="0" w:afterLines="0" w:line="276" w:lineRule="auto"/>
    </w:pPr>
    <w:rPr>
      <w:rFonts w:ascii="宋体" w:eastAsia="宋体"/>
    </w:rPr>
  </w:style>
  <w:style w:type="paragraph" w:customStyle="1" w:styleId="231">
    <w:name w:val="标准文件_引言五级无标题"/>
    <w:basedOn w:val="215"/>
    <w:next w:val="67"/>
    <w:qFormat/>
    <w:uiPriority w:val="0"/>
    <w:pPr>
      <w:spacing w:before="0" w:beforeLines="0" w:after="0" w:afterLines="0" w:line="276" w:lineRule="auto"/>
    </w:pPr>
    <w:rPr>
      <w:rFonts w:ascii="宋体" w:eastAsia="宋体"/>
    </w:rPr>
  </w:style>
  <w:style w:type="paragraph" w:customStyle="1" w:styleId="232">
    <w:name w:val="标准文件_索引标题"/>
    <w:basedOn w:val="74"/>
    <w:next w:val="67"/>
    <w:qFormat/>
    <w:uiPriority w:val="0"/>
    <w:rPr>
      <w:rFonts w:hAnsi="黑体"/>
    </w:rPr>
  </w:style>
  <w:style w:type="paragraph" w:customStyle="1" w:styleId="233">
    <w:name w:val="标准文件_脚注内容"/>
    <w:basedOn w:val="67"/>
    <w:qFormat/>
    <w:uiPriority w:val="0"/>
    <w:pPr>
      <w:ind w:left="400" w:leftChars="200" w:hanging="200" w:hangingChars="200"/>
    </w:pPr>
    <w:rPr>
      <w:sz w:val="15"/>
    </w:rPr>
  </w:style>
  <w:style w:type="paragraph" w:customStyle="1" w:styleId="234">
    <w:name w:val="标准文件_术语条一"/>
    <w:basedOn w:val="173"/>
    <w:next w:val="67"/>
    <w:qFormat/>
    <w:uiPriority w:val="0"/>
  </w:style>
  <w:style w:type="paragraph" w:customStyle="1" w:styleId="235">
    <w:name w:val="标准文件_术语条二"/>
    <w:basedOn w:val="176"/>
    <w:next w:val="67"/>
    <w:qFormat/>
    <w:uiPriority w:val="0"/>
  </w:style>
  <w:style w:type="paragraph" w:customStyle="1" w:styleId="236">
    <w:name w:val="标准文件_术语条三"/>
    <w:basedOn w:val="175"/>
    <w:next w:val="67"/>
    <w:qFormat/>
    <w:uiPriority w:val="0"/>
  </w:style>
  <w:style w:type="paragraph" w:customStyle="1" w:styleId="237">
    <w:name w:val="标准文件_术语条四"/>
    <w:basedOn w:val="178"/>
    <w:next w:val="67"/>
    <w:qFormat/>
    <w:uiPriority w:val="0"/>
  </w:style>
  <w:style w:type="paragraph" w:customStyle="1" w:styleId="238">
    <w:name w:val="标准文件_术语条五"/>
    <w:basedOn w:val="174"/>
    <w:next w:val="67"/>
    <w:qFormat/>
    <w:uiPriority w:val="0"/>
  </w:style>
  <w:style w:type="paragraph" w:customStyle="1" w:styleId="23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240">
    <w:name w:val="No Spacing"/>
    <w:qFormat/>
    <w:uiPriority w:val="1"/>
    <w:pPr>
      <w:widowControl w:val="0"/>
      <w:ind w:left="200" w:leftChars="200"/>
    </w:pPr>
    <w:rPr>
      <w:rFonts w:ascii="Times New Roman" w:hAnsi="Times New Roman" w:eastAsia="宋体" w:cs="Times New Roman"/>
      <w:kern w:val="2"/>
      <w:sz w:val="18"/>
      <w:szCs w:val="24"/>
      <w:lang w:val="en-US" w:eastAsia="zh-CN" w:bidi="ar-SA"/>
    </w:rPr>
  </w:style>
  <w:style w:type="paragraph" w:customStyle="1" w:styleId="241">
    <w:name w:val="1.1"/>
    <w:basedOn w:val="242"/>
    <w:next w:val="1"/>
    <w:qFormat/>
    <w:uiPriority w:val="0"/>
    <w:pPr>
      <w:numPr>
        <w:ilvl w:val="1"/>
      </w:numPr>
      <w:spacing w:before="50" w:beforeLines="50" w:after="50" w:afterLines="50"/>
      <w:ind w:left="0"/>
      <w:outlineLvl w:val="2"/>
    </w:pPr>
  </w:style>
  <w:style w:type="paragraph" w:customStyle="1" w:styleId="242">
    <w:name w:val="1"/>
    <w:basedOn w:val="1"/>
    <w:link w:val="249"/>
    <w:qFormat/>
    <w:uiPriority w:val="0"/>
    <w:pPr>
      <w:widowControl/>
      <w:numPr>
        <w:ilvl w:val="0"/>
        <w:numId w:val="32"/>
      </w:numPr>
      <w:adjustRightInd/>
      <w:spacing w:before="100" w:beforeLines="100" w:after="100" w:afterLines="100" w:line="240" w:lineRule="auto"/>
      <w:outlineLvl w:val="1"/>
    </w:pPr>
    <w:rPr>
      <w:rFonts w:ascii="黑体" w:hAnsi="Times New Roman" w:eastAsia="黑体"/>
      <w:kern w:val="0"/>
      <w:szCs w:val="20"/>
    </w:rPr>
  </w:style>
  <w:style w:type="paragraph" w:customStyle="1" w:styleId="243">
    <w:name w:val="五级条标题"/>
    <w:basedOn w:val="1"/>
    <w:next w:val="1"/>
    <w:qFormat/>
    <w:uiPriority w:val="99"/>
    <w:pPr>
      <w:widowControl/>
      <w:numPr>
        <w:ilvl w:val="5"/>
        <w:numId w:val="32"/>
      </w:numPr>
      <w:adjustRightInd/>
      <w:spacing w:before="156" w:beforeLines="50" w:after="156" w:afterLines="50" w:line="240" w:lineRule="auto"/>
      <w:jc w:val="left"/>
      <w:outlineLvl w:val="6"/>
    </w:pPr>
    <w:rPr>
      <w:rFonts w:ascii="黑体" w:hAnsi="Times New Roman" w:eastAsia="黑体"/>
      <w:kern w:val="0"/>
    </w:rPr>
  </w:style>
  <w:style w:type="paragraph" w:customStyle="1" w:styleId="244">
    <w:name w:val="1.1.1"/>
    <w:basedOn w:val="242"/>
    <w:link w:val="254"/>
    <w:qFormat/>
    <w:uiPriority w:val="0"/>
    <w:pPr>
      <w:numPr>
        <w:ilvl w:val="2"/>
      </w:numPr>
      <w:snapToGrid w:val="0"/>
      <w:spacing w:before="0" w:beforeLines="0" w:after="0" w:afterLines="0"/>
      <w:ind w:left="0"/>
      <w:outlineLvl w:val="3"/>
    </w:pPr>
    <w:rPr>
      <w:rFonts w:ascii="宋体" w:hAnsi="宋体" w:eastAsiaTheme="minorEastAsia"/>
    </w:rPr>
  </w:style>
  <w:style w:type="paragraph" w:customStyle="1" w:styleId="245">
    <w:name w:val="1.1.1.1"/>
    <w:basedOn w:val="242"/>
    <w:link w:val="255"/>
    <w:qFormat/>
    <w:uiPriority w:val="0"/>
    <w:pPr>
      <w:numPr>
        <w:ilvl w:val="3"/>
      </w:numPr>
      <w:spacing w:before="0" w:beforeLines="0" w:after="0" w:afterLines="0"/>
      <w:outlineLvl w:val="4"/>
    </w:pPr>
    <w:rPr>
      <w:rFonts w:ascii="宋体" w:hAnsi="宋体" w:eastAsiaTheme="minorEastAsia"/>
    </w:rPr>
  </w:style>
  <w:style w:type="paragraph" w:customStyle="1" w:styleId="246">
    <w:name w:val="1.1.1.1.1"/>
    <w:basedOn w:val="1"/>
    <w:link w:val="256"/>
    <w:qFormat/>
    <w:uiPriority w:val="0"/>
    <w:pPr>
      <w:widowControl/>
      <w:numPr>
        <w:ilvl w:val="4"/>
        <w:numId w:val="32"/>
      </w:numPr>
      <w:adjustRightInd/>
      <w:spacing w:before="156" w:beforeLines="50" w:after="156" w:afterLines="50" w:line="240" w:lineRule="auto"/>
      <w:outlineLvl w:val="5"/>
    </w:pPr>
    <w:rPr>
      <w:rFonts w:ascii="黑体" w:hAnsi="Times New Roman" w:eastAsia="黑体"/>
      <w:kern w:val="0"/>
      <w:szCs w:val="20"/>
    </w:rPr>
  </w:style>
  <w:style w:type="paragraph" w:customStyle="1" w:styleId="247">
    <w:name w:val="1.1 术语定义"/>
    <w:basedOn w:val="241"/>
    <w:next w:val="1"/>
    <w:link w:val="248"/>
    <w:qFormat/>
    <w:uiPriority w:val="0"/>
    <w:pPr>
      <w:numPr>
        <w:ilvl w:val="0"/>
        <w:numId w:val="0"/>
      </w:numPr>
      <w:ind w:firstLine="420" w:firstLineChars="200"/>
      <w:jc w:val="left"/>
      <w:outlineLvl w:val="9"/>
    </w:pPr>
    <w:rPr>
      <w:rFonts w:hAnsi="Arial Unicode MS" w:cs="Arial Unicode MS"/>
      <w:szCs w:val="28"/>
    </w:rPr>
  </w:style>
  <w:style w:type="character" w:customStyle="1" w:styleId="248">
    <w:name w:val="1.1 术语定义 Char"/>
    <w:basedOn w:val="49"/>
    <w:link w:val="247"/>
    <w:qFormat/>
    <w:uiPriority w:val="0"/>
    <w:rPr>
      <w:rFonts w:ascii="黑体" w:hAnsi="Arial Unicode MS" w:eastAsia="黑体" w:cs="Arial Unicode MS"/>
      <w:b w:val="0"/>
      <w:bCs w:val="0"/>
      <w:sz w:val="21"/>
      <w:szCs w:val="28"/>
    </w:rPr>
  </w:style>
  <w:style w:type="character" w:customStyle="1" w:styleId="249">
    <w:name w:val="1 Char"/>
    <w:basedOn w:val="250"/>
    <w:link w:val="242"/>
    <w:qFormat/>
    <w:uiPriority w:val="0"/>
    <w:rPr>
      <w:rFonts w:ascii="黑体" w:hAnsi="Times New Roman" w:eastAsia="黑体"/>
      <w:sz w:val="21"/>
    </w:rPr>
  </w:style>
  <w:style w:type="character" w:customStyle="1" w:styleId="250">
    <w:name w:val="章标题 Char"/>
    <w:basedOn w:val="38"/>
    <w:link w:val="251"/>
    <w:qFormat/>
    <w:uiPriority w:val="0"/>
    <w:rPr>
      <w:rFonts w:ascii="黑体" w:hAnsi="Times New Roman" w:eastAsia="黑体"/>
      <w:sz w:val="21"/>
    </w:rPr>
  </w:style>
  <w:style w:type="paragraph" w:customStyle="1" w:styleId="251">
    <w:name w:val="章标题"/>
    <w:next w:val="252"/>
    <w:link w:val="250"/>
    <w:qFormat/>
    <w:uiPriority w:val="0"/>
    <w:pPr>
      <w:spacing w:beforeLines="100" w:afterLines="100"/>
      <w:jc w:val="both"/>
      <w:outlineLvl w:val="1"/>
    </w:pPr>
    <w:rPr>
      <w:rFonts w:ascii="黑体" w:hAnsi="Times New Roman" w:eastAsia="黑体" w:cs="Times New Roman"/>
      <w:sz w:val="21"/>
      <w:lang w:val="en-US" w:eastAsia="zh-CN" w:bidi="ar-SA"/>
    </w:rPr>
  </w:style>
  <w:style w:type="paragraph" w:customStyle="1" w:styleId="252">
    <w:name w:val="段"/>
    <w:link w:val="253"/>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53">
    <w:name w:val="段 Char"/>
    <w:basedOn w:val="38"/>
    <w:link w:val="252"/>
    <w:qFormat/>
    <w:uiPriority w:val="0"/>
    <w:rPr>
      <w:rFonts w:ascii="宋体" w:hAnsi="Times New Roman"/>
      <w:sz w:val="21"/>
    </w:rPr>
  </w:style>
  <w:style w:type="character" w:customStyle="1" w:styleId="254">
    <w:name w:val="1.1.1 Char"/>
    <w:basedOn w:val="38"/>
    <w:link w:val="244"/>
    <w:qFormat/>
    <w:uiPriority w:val="0"/>
    <w:rPr>
      <w:rFonts w:ascii="宋体" w:hAnsi="宋体" w:eastAsiaTheme="minorEastAsia"/>
      <w:sz w:val="21"/>
    </w:rPr>
  </w:style>
  <w:style w:type="character" w:customStyle="1" w:styleId="255">
    <w:name w:val="1.1.1.1 Char"/>
    <w:basedOn w:val="249"/>
    <w:link w:val="245"/>
    <w:qFormat/>
    <w:uiPriority w:val="0"/>
    <w:rPr>
      <w:rFonts w:ascii="宋体" w:hAnsi="宋体" w:eastAsiaTheme="minorEastAsia"/>
      <w:sz w:val="21"/>
    </w:rPr>
  </w:style>
  <w:style w:type="character" w:customStyle="1" w:styleId="256">
    <w:name w:val="1.1.1.1.1 Char"/>
    <w:basedOn w:val="257"/>
    <w:link w:val="246"/>
    <w:qFormat/>
    <w:uiPriority w:val="0"/>
    <w:rPr>
      <w:rFonts w:ascii="黑体" w:hAnsi="Times New Roman" w:eastAsia="黑体"/>
      <w:sz w:val="21"/>
    </w:rPr>
  </w:style>
  <w:style w:type="character" w:customStyle="1" w:styleId="257">
    <w:name w:val="图 Char"/>
    <w:basedOn w:val="249"/>
    <w:link w:val="258"/>
    <w:qFormat/>
    <w:uiPriority w:val="0"/>
    <w:rPr>
      <w:rFonts w:ascii="黑体" w:hAnsi="Times New Roman" w:eastAsia="黑体"/>
      <w:sz w:val="21"/>
    </w:rPr>
  </w:style>
  <w:style w:type="paragraph" w:customStyle="1" w:styleId="258">
    <w:name w:val="图"/>
    <w:basedOn w:val="242"/>
    <w:link w:val="257"/>
    <w:qFormat/>
    <w:uiPriority w:val="0"/>
    <w:pPr>
      <w:numPr>
        <w:numId w:val="0"/>
      </w:numPr>
      <w:spacing w:before="50" w:beforeLines="50" w:after="50" w:afterLines="50"/>
      <w:jc w:val="center"/>
      <w:outlineLvl w:val="9"/>
    </w:pPr>
  </w:style>
  <w:style w:type="paragraph" w:customStyle="1" w:styleId="259">
    <w:name w:val="二级条标题"/>
    <w:basedOn w:val="260"/>
    <w:next w:val="252"/>
    <w:qFormat/>
    <w:uiPriority w:val="99"/>
    <w:pPr>
      <w:spacing w:before="156" w:after="156"/>
      <w:outlineLvl w:val="3"/>
    </w:pPr>
  </w:style>
  <w:style w:type="paragraph" w:customStyle="1" w:styleId="260">
    <w:name w:val="一级条标题"/>
    <w:next w:val="252"/>
    <w:link w:val="261"/>
    <w:qFormat/>
    <w:uiPriority w:val="99"/>
    <w:pPr>
      <w:spacing w:beforeLines="50" w:afterLines="50"/>
      <w:outlineLvl w:val="2"/>
    </w:pPr>
    <w:rPr>
      <w:rFonts w:ascii="黑体" w:hAnsi="Times New Roman" w:eastAsia="黑体" w:cs="Times New Roman"/>
      <w:sz w:val="21"/>
      <w:szCs w:val="21"/>
      <w:lang w:val="en-US" w:eastAsia="zh-CN" w:bidi="ar-SA"/>
    </w:rPr>
  </w:style>
  <w:style w:type="character" w:customStyle="1" w:styleId="261">
    <w:name w:val="一级条标题 Char"/>
    <w:link w:val="260"/>
    <w:qFormat/>
    <w:locked/>
    <w:uiPriority w:val="99"/>
    <w:rPr>
      <w:rFonts w:ascii="黑体" w:hAnsi="Times New Roman" w:eastAsia="黑体"/>
      <w:sz w:val="21"/>
      <w:szCs w:val="21"/>
    </w:rPr>
  </w:style>
  <w:style w:type="character" w:customStyle="1" w:styleId="262">
    <w:name w:val="批注文字 Char"/>
    <w:basedOn w:val="38"/>
    <w:link w:val="13"/>
    <w:qFormat/>
    <w:uiPriority w:val="0"/>
    <w:rPr>
      <w:rFonts w:ascii="宋体" w:hAnsi="宋体"/>
      <w:kern w:val="2"/>
      <w:sz w:val="21"/>
      <w:szCs w:val="24"/>
    </w:rPr>
  </w:style>
  <w:style w:type="character" w:customStyle="1" w:styleId="263">
    <w:name w:val="批注文字 Char1"/>
    <w:basedOn w:val="38"/>
    <w:semiHidden/>
    <w:qFormat/>
    <w:uiPriority w:val="99"/>
    <w:rPr>
      <w:kern w:val="2"/>
      <w:sz w:val="21"/>
      <w:szCs w:val="21"/>
    </w:rPr>
  </w:style>
  <w:style w:type="character" w:customStyle="1" w:styleId="264">
    <w:name w:val="正文文本 3 Char"/>
    <w:basedOn w:val="38"/>
    <w:link w:val="14"/>
    <w:qFormat/>
    <w:uiPriority w:val="0"/>
    <w:rPr>
      <w:rFonts w:ascii="宋体" w:hAnsi="宋体"/>
      <w:color w:val="FF0000"/>
      <w:kern w:val="2"/>
      <w:sz w:val="21"/>
      <w:szCs w:val="24"/>
    </w:rPr>
  </w:style>
  <w:style w:type="character" w:customStyle="1" w:styleId="265">
    <w:name w:val="正文文本 3 Char1"/>
    <w:basedOn w:val="38"/>
    <w:semiHidden/>
    <w:qFormat/>
    <w:uiPriority w:val="99"/>
    <w:rPr>
      <w:kern w:val="2"/>
      <w:sz w:val="16"/>
      <w:szCs w:val="16"/>
    </w:rPr>
  </w:style>
  <w:style w:type="character" w:customStyle="1" w:styleId="266">
    <w:name w:val="正文文本缩进 Char"/>
    <w:basedOn w:val="38"/>
    <w:link w:val="16"/>
    <w:qFormat/>
    <w:uiPriority w:val="0"/>
    <w:rPr>
      <w:rFonts w:ascii="宋体" w:hAnsi="宋体"/>
      <w:bCs/>
      <w:kern w:val="2"/>
      <w:sz w:val="21"/>
      <w:szCs w:val="24"/>
    </w:rPr>
  </w:style>
  <w:style w:type="character" w:customStyle="1" w:styleId="267">
    <w:name w:val="日期 Char"/>
    <w:basedOn w:val="38"/>
    <w:link w:val="19"/>
    <w:qFormat/>
    <w:uiPriority w:val="0"/>
    <w:rPr>
      <w:rFonts w:ascii="宋体" w:hAnsi="宋体"/>
      <w:kern w:val="2"/>
      <w:sz w:val="21"/>
      <w:szCs w:val="24"/>
    </w:rPr>
  </w:style>
  <w:style w:type="character" w:customStyle="1" w:styleId="268">
    <w:name w:val="日期 Char1"/>
    <w:basedOn w:val="38"/>
    <w:semiHidden/>
    <w:qFormat/>
    <w:uiPriority w:val="99"/>
    <w:rPr>
      <w:kern w:val="2"/>
      <w:sz w:val="21"/>
      <w:szCs w:val="21"/>
    </w:rPr>
  </w:style>
  <w:style w:type="character" w:customStyle="1" w:styleId="269">
    <w:name w:val="正文文本缩进 2 Char"/>
    <w:basedOn w:val="38"/>
    <w:link w:val="20"/>
    <w:qFormat/>
    <w:uiPriority w:val="0"/>
    <w:rPr>
      <w:rFonts w:ascii="宋体" w:hAnsi="宋体"/>
      <w:kern w:val="2"/>
      <w:sz w:val="18"/>
      <w:szCs w:val="24"/>
    </w:rPr>
  </w:style>
  <w:style w:type="character" w:customStyle="1" w:styleId="270">
    <w:name w:val="正文文本缩进 2 Char1"/>
    <w:basedOn w:val="38"/>
    <w:semiHidden/>
    <w:qFormat/>
    <w:uiPriority w:val="99"/>
    <w:rPr>
      <w:kern w:val="2"/>
      <w:sz w:val="21"/>
      <w:szCs w:val="21"/>
    </w:rPr>
  </w:style>
  <w:style w:type="character" w:customStyle="1" w:styleId="271">
    <w:name w:val="副标题 Char"/>
    <w:basedOn w:val="38"/>
    <w:link w:val="26"/>
    <w:qFormat/>
    <w:uiPriority w:val="11"/>
    <w:rPr>
      <w:rFonts w:asciiTheme="majorHAnsi" w:hAnsiTheme="majorHAnsi" w:cstheme="majorBidi"/>
      <w:bCs/>
      <w:kern w:val="28"/>
      <w:sz w:val="21"/>
      <w:szCs w:val="32"/>
    </w:rPr>
  </w:style>
  <w:style w:type="character" w:customStyle="1" w:styleId="272">
    <w:name w:val="正文文本缩进 3 Char"/>
    <w:basedOn w:val="38"/>
    <w:link w:val="29"/>
    <w:qFormat/>
    <w:uiPriority w:val="0"/>
    <w:rPr>
      <w:rFonts w:ascii="宋体" w:hAnsi="宋体"/>
      <w:kern w:val="2"/>
      <w:sz w:val="18"/>
      <w:szCs w:val="24"/>
    </w:rPr>
  </w:style>
  <w:style w:type="character" w:customStyle="1" w:styleId="273">
    <w:name w:val="正文文本缩进 3 Char1"/>
    <w:basedOn w:val="38"/>
    <w:semiHidden/>
    <w:qFormat/>
    <w:uiPriority w:val="99"/>
    <w:rPr>
      <w:kern w:val="2"/>
      <w:sz w:val="16"/>
      <w:szCs w:val="16"/>
    </w:rPr>
  </w:style>
  <w:style w:type="character" w:customStyle="1" w:styleId="274">
    <w:name w:val="正文文本 2 Char"/>
    <w:basedOn w:val="38"/>
    <w:link w:val="32"/>
    <w:qFormat/>
    <w:uiPriority w:val="0"/>
    <w:rPr>
      <w:rFonts w:ascii="宋体" w:hAnsi="宋体"/>
      <w:color w:val="FF0000"/>
      <w:kern w:val="2"/>
      <w:sz w:val="21"/>
      <w:szCs w:val="24"/>
    </w:rPr>
  </w:style>
  <w:style w:type="character" w:customStyle="1" w:styleId="275">
    <w:name w:val="正文文本 2 Char1"/>
    <w:basedOn w:val="38"/>
    <w:semiHidden/>
    <w:qFormat/>
    <w:uiPriority w:val="99"/>
    <w:rPr>
      <w:kern w:val="2"/>
      <w:sz w:val="21"/>
      <w:szCs w:val="21"/>
    </w:rPr>
  </w:style>
  <w:style w:type="character" w:customStyle="1" w:styleId="276">
    <w:name w:val="批注主题 Char"/>
    <w:basedOn w:val="262"/>
    <w:link w:val="35"/>
    <w:semiHidden/>
    <w:qFormat/>
    <w:uiPriority w:val="0"/>
    <w:rPr>
      <w:rFonts w:ascii="宋体" w:hAnsi="宋体"/>
      <w:b/>
      <w:bCs/>
      <w:kern w:val="2"/>
      <w:sz w:val="21"/>
      <w:szCs w:val="24"/>
    </w:rPr>
  </w:style>
  <w:style w:type="character" w:customStyle="1" w:styleId="277">
    <w:name w:val="批注主题 Char1"/>
    <w:basedOn w:val="263"/>
    <w:semiHidden/>
    <w:qFormat/>
    <w:uiPriority w:val="99"/>
    <w:rPr>
      <w:b/>
      <w:bCs/>
      <w:kern w:val="2"/>
      <w:sz w:val="21"/>
      <w:szCs w:val="21"/>
    </w:rPr>
  </w:style>
  <w:style w:type="paragraph" w:customStyle="1" w:styleId="278">
    <w:name w:val="前言、引言标题"/>
    <w:next w:val="252"/>
    <w:link w:val="279"/>
    <w:qFormat/>
    <w:uiPriority w:val="99"/>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character" w:customStyle="1" w:styleId="279">
    <w:name w:val="前言、引言标题 Char"/>
    <w:basedOn w:val="38"/>
    <w:link w:val="278"/>
    <w:qFormat/>
    <w:uiPriority w:val="99"/>
    <w:rPr>
      <w:rFonts w:ascii="黑体" w:hAnsi="Times New Roman" w:eastAsia="黑体"/>
      <w:sz w:val="32"/>
      <w:shd w:val="clear" w:color="FFFFFF" w:fill="FFFFFF"/>
    </w:rPr>
  </w:style>
  <w:style w:type="paragraph" w:customStyle="1" w:styleId="280">
    <w:name w:val="三级条标题"/>
    <w:basedOn w:val="259"/>
    <w:next w:val="252"/>
    <w:qFormat/>
    <w:uiPriority w:val="99"/>
    <w:pPr>
      <w:numPr>
        <w:ilvl w:val="3"/>
        <w:numId w:val="33"/>
      </w:numPr>
      <w:outlineLvl w:val="4"/>
    </w:pPr>
  </w:style>
  <w:style w:type="paragraph" w:customStyle="1" w:styleId="281">
    <w:name w:val="四级条标题"/>
    <w:basedOn w:val="280"/>
    <w:next w:val="252"/>
    <w:qFormat/>
    <w:uiPriority w:val="99"/>
    <w:pPr>
      <w:numPr>
        <w:ilvl w:val="0"/>
        <w:numId w:val="0"/>
      </w:numPr>
      <w:outlineLvl w:val="5"/>
    </w:pPr>
  </w:style>
  <w:style w:type="paragraph" w:customStyle="1" w:styleId="282">
    <w:name w:val="前言类"/>
    <w:basedOn w:val="278"/>
    <w:link w:val="283"/>
    <w:qFormat/>
    <w:uiPriority w:val="0"/>
  </w:style>
  <w:style w:type="character" w:customStyle="1" w:styleId="283">
    <w:name w:val="前言类 Char"/>
    <w:basedOn w:val="279"/>
    <w:link w:val="282"/>
    <w:qFormat/>
    <w:uiPriority w:val="0"/>
    <w:rPr>
      <w:rFonts w:ascii="黑体" w:hAnsi="Times New Roman" w:eastAsia="黑体"/>
      <w:sz w:val="32"/>
      <w:shd w:val="clear" w:color="FFFFFF" w:fill="FFFFFF"/>
    </w:rPr>
  </w:style>
  <w:style w:type="paragraph" w:styleId="284">
    <w:name w:val="List Paragraph"/>
    <w:basedOn w:val="1"/>
    <w:qFormat/>
    <w:uiPriority w:val="34"/>
    <w:pPr>
      <w:adjustRightInd/>
      <w:spacing w:line="240" w:lineRule="auto"/>
      <w:ind w:firstLine="420" w:firstLineChars="200"/>
      <w:jc w:val="left"/>
    </w:pPr>
    <w:rPr>
      <w:rFonts w:ascii="宋体" w:hAnsi="宋体"/>
      <w:szCs w:val="24"/>
    </w:rPr>
  </w:style>
  <w:style w:type="character" w:customStyle="1" w:styleId="285">
    <w:name w:val="apple-style-span"/>
    <w:basedOn w:val="38"/>
    <w:qFormat/>
    <w:uiPriority w:val="0"/>
  </w:style>
  <w:style w:type="paragraph" w:customStyle="1" w:styleId="286">
    <w:name w:val="列出段落2"/>
    <w:basedOn w:val="1"/>
    <w:qFormat/>
    <w:uiPriority w:val="34"/>
    <w:pPr>
      <w:adjustRightInd/>
      <w:spacing w:line="240" w:lineRule="auto"/>
      <w:ind w:firstLine="420" w:firstLineChars="200"/>
      <w:jc w:val="left"/>
    </w:pPr>
    <w:rPr>
      <w:rFonts w:ascii="宋体" w:hAnsi="宋体"/>
    </w:rPr>
  </w:style>
  <w:style w:type="paragraph" w:customStyle="1" w:styleId="287">
    <w:name w:val="字母编号列项（一级）"/>
    <w:link w:val="288"/>
    <w:qFormat/>
    <w:uiPriority w:val="0"/>
    <w:pPr>
      <w:jc w:val="both"/>
    </w:pPr>
    <w:rPr>
      <w:rFonts w:ascii="宋体" w:hAnsi="Times New Roman" w:eastAsia="宋体" w:cs="Times New Roman"/>
      <w:sz w:val="21"/>
      <w:lang w:val="en-US" w:eastAsia="zh-CN" w:bidi="ar-SA"/>
    </w:rPr>
  </w:style>
  <w:style w:type="character" w:customStyle="1" w:styleId="288">
    <w:name w:val="字母编号列项（一级） Char"/>
    <w:basedOn w:val="38"/>
    <w:link w:val="287"/>
    <w:qFormat/>
    <w:uiPriority w:val="0"/>
    <w:rPr>
      <w:rFonts w:ascii="宋体" w:hAnsi="Times New Roman"/>
      <w:sz w:val="21"/>
    </w:rPr>
  </w:style>
  <w:style w:type="paragraph" w:customStyle="1" w:styleId="289">
    <w:name w:val="注：（正文）"/>
    <w:basedOn w:val="1"/>
    <w:next w:val="252"/>
    <w:qFormat/>
    <w:uiPriority w:val="0"/>
    <w:pPr>
      <w:numPr>
        <w:ilvl w:val="0"/>
        <w:numId w:val="34"/>
      </w:numPr>
      <w:autoSpaceDE w:val="0"/>
      <w:autoSpaceDN w:val="0"/>
      <w:adjustRightInd/>
      <w:spacing w:line="240" w:lineRule="auto"/>
      <w:ind w:left="726" w:hanging="363"/>
    </w:pPr>
    <w:rPr>
      <w:rFonts w:ascii="宋体" w:hAnsi="Times New Roman"/>
      <w:kern w:val="0"/>
      <w:sz w:val="18"/>
      <w:szCs w:val="18"/>
    </w:rPr>
  </w:style>
  <w:style w:type="paragraph" w:customStyle="1" w:styleId="290">
    <w:name w:val="附录标识"/>
    <w:basedOn w:val="1"/>
    <w:next w:val="252"/>
    <w:qFormat/>
    <w:uiPriority w:val="0"/>
    <w:pPr>
      <w:keepNext/>
      <w:widowControl/>
      <w:shd w:val="clear" w:color="FFFFFF" w:fill="FFFFFF"/>
      <w:tabs>
        <w:tab w:val="left" w:pos="360"/>
        <w:tab w:val="left" w:pos="6405"/>
      </w:tabs>
      <w:adjustRightInd/>
      <w:spacing w:before="640" w:after="280" w:line="240" w:lineRule="auto"/>
      <w:jc w:val="center"/>
      <w:outlineLvl w:val="0"/>
    </w:pPr>
    <w:rPr>
      <w:rFonts w:ascii="黑体" w:hAnsi="Times New Roman" w:eastAsia="黑体"/>
      <w:kern w:val="0"/>
      <w:szCs w:val="20"/>
    </w:rPr>
  </w:style>
  <w:style w:type="paragraph" w:customStyle="1" w:styleId="291">
    <w:name w:val="附录表标号"/>
    <w:basedOn w:val="1"/>
    <w:next w:val="252"/>
    <w:qFormat/>
    <w:uiPriority w:val="0"/>
    <w:pPr>
      <w:numPr>
        <w:ilvl w:val="0"/>
        <w:numId w:val="35"/>
      </w:numPr>
      <w:tabs>
        <w:tab w:val="clear" w:pos="0"/>
      </w:tabs>
      <w:adjustRightInd/>
      <w:spacing w:line="14" w:lineRule="exact"/>
      <w:ind w:left="811" w:hanging="448"/>
      <w:jc w:val="center"/>
      <w:outlineLvl w:val="0"/>
    </w:pPr>
    <w:rPr>
      <w:rFonts w:ascii="Times New Roman" w:hAnsi="Times New Roman"/>
      <w:color w:val="FFFFFF"/>
      <w:szCs w:val="24"/>
    </w:rPr>
  </w:style>
  <w:style w:type="paragraph" w:customStyle="1" w:styleId="292">
    <w:name w:val="附录表标题"/>
    <w:basedOn w:val="1"/>
    <w:next w:val="252"/>
    <w:qFormat/>
    <w:uiPriority w:val="0"/>
    <w:pPr>
      <w:numPr>
        <w:ilvl w:val="1"/>
        <w:numId w:val="35"/>
      </w:numPr>
      <w:tabs>
        <w:tab w:val="left" w:pos="180"/>
      </w:tabs>
      <w:adjustRightInd/>
      <w:spacing w:beforeLines="50" w:afterLines="50" w:line="240" w:lineRule="auto"/>
      <w:ind w:left="0" w:firstLine="0"/>
      <w:jc w:val="center"/>
    </w:pPr>
    <w:rPr>
      <w:rFonts w:ascii="黑体" w:hAnsi="Times New Roman" w:eastAsia="黑体"/>
    </w:rPr>
  </w:style>
  <w:style w:type="paragraph" w:customStyle="1" w:styleId="293">
    <w:name w:val="附录二级条标题"/>
    <w:basedOn w:val="1"/>
    <w:next w:val="252"/>
    <w:qFormat/>
    <w:uiPriority w:val="0"/>
    <w:pPr>
      <w:widowControl/>
      <w:tabs>
        <w:tab w:val="left" w:pos="360"/>
      </w:tabs>
      <w:wordWrap w:val="0"/>
      <w:overflowPunct w:val="0"/>
      <w:autoSpaceDE w:val="0"/>
      <w:autoSpaceDN w:val="0"/>
      <w:adjustRightInd/>
      <w:spacing w:beforeLines="50" w:afterLines="50" w:line="240" w:lineRule="auto"/>
      <w:textAlignment w:val="baseline"/>
      <w:outlineLvl w:val="3"/>
    </w:pPr>
    <w:rPr>
      <w:rFonts w:ascii="黑体" w:hAnsi="Times New Roman" w:eastAsia="黑体"/>
      <w:kern w:val="21"/>
      <w:szCs w:val="20"/>
    </w:rPr>
  </w:style>
  <w:style w:type="paragraph" w:customStyle="1" w:styleId="294">
    <w:name w:val="附录三级条标题"/>
    <w:basedOn w:val="293"/>
    <w:next w:val="252"/>
    <w:qFormat/>
    <w:uiPriority w:val="0"/>
    <w:pPr>
      <w:outlineLvl w:val="4"/>
    </w:pPr>
  </w:style>
  <w:style w:type="paragraph" w:customStyle="1" w:styleId="295">
    <w:name w:val="附录四级条标题"/>
    <w:basedOn w:val="294"/>
    <w:next w:val="252"/>
    <w:qFormat/>
    <w:uiPriority w:val="0"/>
    <w:pPr>
      <w:outlineLvl w:val="5"/>
    </w:pPr>
  </w:style>
  <w:style w:type="paragraph" w:customStyle="1" w:styleId="296">
    <w:name w:val="附录图标号"/>
    <w:basedOn w:val="1"/>
    <w:qFormat/>
    <w:uiPriority w:val="0"/>
    <w:pPr>
      <w:keepNext/>
      <w:pageBreakBefore/>
      <w:widowControl/>
      <w:numPr>
        <w:ilvl w:val="0"/>
        <w:numId w:val="36"/>
      </w:numPr>
      <w:adjustRightInd/>
      <w:spacing w:line="14" w:lineRule="exact"/>
      <w:ind w:left="0" w:firstLine="363"/>
      <w:jc w:val="center"/>
      <w:outlineLvl w:val="0"/>
    </w:pPr>
    <w:rPr>
      <w:rFonts w:ascii="Times New Roman" w:hAnsi="Times New Roman"/>
      <w:color w:val="FFFFFF"/>
      <w:szCs w:val="24"/>
    </w:rPr>
  </w:style>
  <w:style w:type="paragraph" w:customStyle="1" w:styleId="297">
    <w:name w:val="附录图标题"/>
    <w:basedOn w:val="1"/>
    <w:next w:val="252"/>
    <w:qFormat/>
    <w:uiPriority w:val="0"/>
    <w:pPr>
      <w:numPr>
        <w:ilvl w:val="1"/>
        <w:numId w:val="36"/>
      </w:numPr>
      <w:tabs>
        <w:tab w:val="left" w:pos="363"/>
      </w:tabs>
      <w:adjustRightInd/>
      <w:spacing w:beforeLines="50" w:afterLines="50" w:line="240" w:lineRule="auto"/>
      <w:ind w:left="0" w:firstLine="0"/>
      <w:jc w:val="center"/>
    </w:pPr>
    <w:rPr>
      <w:rFonts w:ascii="黑体" w:hAnsi="Times New Roman" w:eastAsia="黑体"/>
    </w:rPr>
  </w:style>
  <w:style w:type="paragraph" w:customStyle="1" w:styleId="298">
    <w:name w:val="附录五级条标题"/>
    <w:basedOn w:val="295"/>
    <w:next w:val="252"/>
    <w:qFormat/>
    <w:uiPriority w:val="0"/>
    <w:pPr>
      <w:outlineLvl w:val="6"/>
    </w:pPr>
  </w:style>
  <w:style w:type="paragraph" w:customStyle="1" w:styleId="299">
    <w:name w:val="附录章标题"/>
    <w:next w:val="252"/>
    <w:qFormat/>
    <w:uiPriority w:val="0"/>
    <w:p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300">
    <w:name w:val="附录一级条标题"/>
    <w:basedOn w:val="299"/>
    <w:next w:val="252"/>
    <w:qFormat/>
    <w:uiPriority w:val="0"/>
    <w:pPr>
      <w:autoSpaceDN w:val="0"/>
      <w:spacing w:beforeLines="50" w:afterLines="50"/>
      <w:outlineLvl w:val="2"/>
    </w:pPr>
  </w:style>
  <w:style w:type="paragraph" w:customStyle="1" w:styleId="301">
    <w:name w:val="二级无"/>
    <w:basedOn w:val="259"/>
    <w:qFormat/>
    <w:uiPriority w:val="0"/>
    <w:pPr>
      <w:spacing w:before="50" w:beforeLines="0" w:after="50" w:afterLines="0"/>
    </w:pPr>
    <w:rPr>
      <w:rFonts w:ascii="宋体" w:eastAsia="宋体"/>
      <w:lang w:val="zh-CN"/>
    </w:rPr>
  </w:style>
  <w:style w:type="paragraph" w:customStyle="1" w:styleId="302">
    <w:name w:val="修订1"/>
    <w:hidden/>
    <w:semiHidden/>
    <w:qFormat/>
    <w:uiPriority w:val="99"/>
    <w:rPr>
      <w:rFonts w:ascii="Calibri" w:hAnsi="Calibri"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26.png"/><Relationship Id="rId98" Type="http://schemas.openxmlformats.org/officeDocument/2006/relationships/image" Target="media/image25.png"/><Relationship Id="rId97" Type="http://schemas.openxmlformats.org/officeDocument/2006/relationships/image" Target="media/image24.png"/><Relationship Id="rId96" Type="http://schemas.openxmlformats.org/officeDocument/2006/relationships/image" Target="media/image23.wmf"/><Relationship Id="rId95" Type="http://schemas.openxmlformats.org/officeDocument/2006/relationships/oleObject" Target="embeddings/oleObject29.bin"/><Relationship Id="rId94" Type="http://schemas.openxmlformats.org/officeDocument/2006/relationships/oleObject" Target="embeddings/oleObject28.bin"/><Relationship Id="rId93" Type="http://schemas.openxmlformats.org/officeDocument/2006/relationships/oleObject" Target="embeddings/oleObject27.bin"/><Relationship Id="rId92" Type="http://schemas.openxmlformats.org/officeDocument/2006/relationships/image" Target="media/image22.wmf"/><Relationship Id="rId91" Type="http://schemas.openxmlformats.org/officeDocument/2006/relationships/oleObject" Target="embeddings/oleObject26.bin"/><Relationship Id="rId90" Type="http://schemas.openxmlformats.org/officeDocument/2006/relationships/oleObject" Target="embeddings/oleObject25.bin"/><Relationship Id="rId9" Type="http://schemas.openxmlformats.org/officeDocument/2006/relationships/footer" Target="footer3.xml"/><Relationship Id="rId89" Type="http://schemas.openxmlformats.org/officeDocument/2006/relationships/oleObject" Target="embeddings/oleObject24.bin"/><Relationship Id="rId88" Type="http://schemas.openxmlformats.org/officeDocument/2006/relationships/oleObject" Target="embeddings/oleObject23.bin"/><Relationship Id="rId87" Type="http://schemas.openxmlformats.org/officeDocument/2006/relationships/image" Target="media/image21.wmf"/><Relationship Id="rId86" Type="http://schemas.openxmlformats.org/officeDocument/2006/relationships/oleObject" Target="embeddings/oleObject22.bin"/><Relationship Id="rId85" Type="http://schemas.openxmlformats.org/officeDocument/2006/relationships/image" Target="media/image20.wmf"/><Relationship Id="rId84" Type="http://schemas.openxmlformats.org/officeDocument/2006/relationships/oleObject" Target="embeddings/oleObject21.bin"/><Relationship Id="rId83" Type="http://schemas.openxmlformats.org/officeDocument/2006/relationships/image" Target="media/image19.wmf"/><Relationship Id="rId82" Type="http://schemas.openxmlformats.org/officeDocument/2006/relationships/oleObject" Target="embeddings/oleObject20.bin"/><Relationship Id="rId81" Type="http://schemas.openxmlformats.org/officeDocument/2006/relationships/oleObject" Target="embeddings/oleObject19.bin"/><Relationship Id="rId80" Type="http://schemas.openxmlformats.org/officeDocument/2006/relationships/image" Target="media/image18.wmf"/><Relationship Id="rId8" Type="http://schemas.openxmlformats.org/officeDocument/2006/relationships/header" Target="header4.xml"/><Relationship Id="rId79" Type="http://schemas.openxmlformats.org/officeDocument/2006/relationships/oleObject" Target="embeddings/oleObject18.bin"/><Relationship Id="rId78" Type="http://schemas.openxmlformats.org/officeDocument/2006/relationships/image" Target="media/image17.wmf"/><Relationship Id="rId77" Type="http://schemas.openxmlformats.org/officeDocument/2006/relationships/oleObject" Target="embeddings/oleObject17.bin"/><Relationship Id="rId76" Type="http://schemas.openxmlformats.org/officeDocument/2006/relationships/image" Target="media/image16.wmf"/><Relationship Id="rId75" Type="http://schemas.openxmlformats.org/officeDocument/2006/relationships/oleObject" Target="embeddings/oleObject16.bin"/><Relationship Id="rId74" Type="http://schemas.openxmlformats.org/officeDocument/2006/relationships/image" Target="media/image15.wmf"/><Relationship Id="rId73" Type="http://schemas.openxmlformats.org/officeDocument/2006/relationships/oleObject" Target="embeddings/oleObject15.bin"/><Relationship Id="rId72" Type="http://schemas.openxmlformats.org/officeDocument/2006/relationships/oleObject" Target="embeddings/oleObject14.bin"/><Relationship Id="rId71" Type="http://schemas.openxmlformats.org/officeDocument/2006/relationships/image" Target="media/image14.wmf"/><Relationship Id="rId70" Type="http://schemas.openxmlformats.org/officeDocument/2006/relationships/oleObject" Target="embeddings/oleObject13.bin"/><Relationship Id="rId7" Type="http://schemas.openxmlformats.org/officeDocument/2006/relationships/header" Target="header3.xml"/><Relationship Id="rId69" Type="http://schemas.openxmlformats.org/officeDocument/2006/relationships/image" Target="media/image13.wmf"/><Relationship Id="rId68" Type="http://schemas.openxmlformats.org/officeDocument/2006/relationships/oleObject" Target="embeddings/oleObject12.bin"/><Relationship Id="rId67" Type="http://schemas.openxmlformats.org/officeDocument/2006/relationships/image" Target="media/image12.wmf"/><Relationship Id="rId66" Type="http://schemas.openxmlformats.org/officeDocument/2006/relationships/oleObject" Target="embeddings/oleObject11.bin"/><Relationship Id="rId65" Type="http://schemas.openxmlformats.org/officeDocument/2006/relationships/image" Target="media/image11.wmf"/><Relationship Id="rId64" Type="http://schemas.openxmlformats.org/officeDocument/2006/relationships/oleObject" Target="embeddings/oleObject10.bin"/><Relationship Id="rId63" Type="http://schemas.openxmlformats.org/officeDocument/2006/relationships/oleObject" Target="embeddings/oleObject9.bin"/><Relationship Id="rId62" Type="http://schemas.openxmlformats.org/officeDocument/2006/relationships/image" Target="media/image10.wmf"/><Relationship Id="rId61" Type="http://schemas.openxmlformats.org/officeDocument/2006/relationships/oleObject" Target="embeddings/oleObject8.bin"/><Relationship Id="rId60" Type="http://schemas.openxmlformats.org/officeDocument/2006/relationships/image" Target="media/image9.wmf"/><Relationship Id="rId6" Type="http://schemas.openxmlformats.org/officeDocument/2006/relationships/footer" Target="footer2.xml"/><Relationship Id="rId59" Type="http://schemas.openxmlformats.org/officeDocument/2006/relationships/oleObject" Target="embeddings/oleObject7.bin"/><Relationship Id="rId58" Type="http://schemas.openxmlformats.org/officeDocument/2006/relationships/image" Target="media/image8.wmf"/><Relationship Id="rId57" Type="http://schemas.openxmlformats.org/officeDocument/2006/relationships/oleObject" Target="embeddings/oleObject6.bin"/><Relationship Id="rId56" Type="http://schemas.openxmlformats.org/officeDocument/2006/relationships/image" Target="media/image7.wmf"/><Relationship Id="rId55" Type="http://schemas.openxmlformats.org/officeDocument/2006/relationships/oleObject" Target="embeddings/oleObject5.bin"/><Relationship Id="rId54" Type="http://schemas.openxmlformats.org/officeDocument/2006/relationships/image" Target="media/image6.wmf"/><Relationship Id="rId53" Type="http://schemas.openxmlformats.org/officeDocument/2006/relationships/oleObject" Target="embeddings/oleObject4.bin"/><Relationship Id="rId52" Type="http://schemas.openxmlformats.org/officeDocument/2006/relationships/image" Target="media/image5.wmf"/><Relationship Id="rId51" Type="http://schemas.openxmlformats.org/officeDocument/2006/relationships/oleObject" Target="embeddings/oleObject3.bin"/><Relationship Id="rId50" Type="http://schemas.openxmlformats.org/officeDocument/2006/relationships/image" Target="media/image4.wmf"/><Relationship Id="rId5" Type="http://schemas.openxmlformats.org/officeDocument/2006/relationships/footer" Target="footer1.xml"/><Relationship Id="rId49" Type="http://schemas.openxmlformats.org/officeDocument/2006/relationships/oleObject" Target="embeddings/oleObject2.bin"/><Relationship Id="rId48" Type="http://schemas.openxmlformats.org/officeDocument/2006/relationships/image" Target="media/image3.wmf"/><Relationship Id="rId47" Type="http://schemas.openxmlformats.org/officeDocument/2006/relationships/oleObject" Target="embeddings/oleObject1.bin"/><Relationship Id="rId46" Type="http://schemas.openxmlformats.org/officeDocument/2006/relationships/image" Target="media/image2.emf"/><Relationship Id="rId45" Type="http://schemas.openxmlformats.org/officeDocument/2006/relationships/image" Target="media/image1.tiff"/><Relationship Id="rId44" Type="http://schemas.openxmlformats.org/officeDocument/2006/relationships/image" Target="media/image1.png"/><Relationship Id="rId43" Type="http://schemas.openxmlformats.org/officeDocument/2006/relationships/theme" Target="theme/theme1.xml"/><Relationship Id="rId42" Type="http://schemas.openxmlformats.org/officeDocument/2006/relationships/footer" Target="footer20.xml"/><Relationship Id="rId41" Type="http://schemas.openxmlformats.org/officeDocument/2006/relationships/footer" Target="footer19.xml"/><Relationship Id="rId40" Type="http://schemas.openxmlformats.org/officeDocument/2006/relationships/header" Target="header20.xml"/><Relationship Id="rId4" Type="http://schemas.openxmlformats.org/officeDocument/2006/relationships/header" Target="header2.xml"/><Relationship Id="rId39" Type="http://schemas.openxmlformats.org/officeDocument/2006/relationships/header" Target="header19.xml"/><Relationship Id="rId38" Type="http://schemas.openxmlformats.org/officeDocument/2006/relationships/footer" Target="footer18.xml"/><Relationship Id="rId37" Type="http://schemas.openxmlformats.org/officeDocument/2006/relationships/footer" Target="footer17.xml"/><Relationship Id="rId36" Type="http://schemas.openxmlformats.org/officeDocument/2006/relationships/header" Target="header18.xml"/><Relationship Id="rId35" Type="http://schemas.openxmlformats.org/officeDocument/2006/relationships/header" Target="header17.xml"/><Relationship Id="rId34" Type="http://schemas.openxmlformats.org/officeDocument/2006/relationships/footer" Target="footer16.xml"/><Relationship Id="rId33" Type="http://schemas.openxmlformats.org/officeDocument/2006/relationships/footer" Target="footer15.xml"/><Relationship Id="rId32" Type="http://schemas.openxmlformats.org/officeDocument/2006/relationships/header" Target="header16.xml"/><Relationship Id="rId31" Type="http://schemas.openxmlformats.org/officeDocument/2006/relationships/header" Target="header15.xml"/><Relationship Id="rId30" Type="http://schemas.openxmlformats.org/officeDocument/2006/relationships/footer" Target="footer14.xml"/><Relationship Id="rId3" Type="http://schemas.openxmlformats.org/officeDocument/2006/relationships/header" Target="header1.xml"/><Relationship Id="rId29" Type="http://schemas.openxmlformats.org/officeDocument/2006/relationships/footer" Target="footer13.xml"/><Relationship Id="rId28" Type="http://schemas.openxmlformats.org/officeDocument/2006/relationships/header" Target="header14.xml"/><Relationship Id="rId27" Type="http://schemas.openxmlformats.org/officeDocument/2006/relationships/header" Target="header13.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header" Target="header12.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1" Type="http://schemas.openxmlformats.org/officeDocument/2006/relationships/glossaryDocument" Target="glossary/document.xml"/><Relationship Id="rId190" Type="http://schemas.openxmlformats.org/officeDocument/2006/relationships/fontTable" Target="fontTable.xml"/><Relationship Id="rId19" Type="http://schemas.openxmlformats.org/officeDocument/2006/relationships/header" Target="header9.xml"/><Relationship Id="rId189" Type="http://schemas.openxmlformats.org/officeDocument/2006/relationships/customXml" Target="../customXml/item2.xml"/><Relationship Id="rId188" Type="http://schemas.openxmlformats.org/officeDocument/2006/relationships/numbering" Target="numbering.xml"/><Relationship Id="rId187" Type="http://schemas.openxmlformats.org/officeDocument/2006/relationships/customXml" Target="../customXml/item1.xml"/><Relationship Id="rId186" Type="http://schemas.openxmlformats.org/officeDocument/2006/relationships/image" Target="media/image75.jpeg"/><Relationship Id="rId185" Type="http://schemas.openxmlformats.org/officeDocument/2006/relationships/oleObject" Target="embeddings/oleObject67.bin"/><Relationship Id="rId184" Type="http://schemas.openxmlformats.org/officeDocument/2006/relationships/oleObject" Target="embeddings/oleObject66.bin"/><Relationship Id="rId183" Type="http://schemas.openxmlformats.org/officeDocument/2006/relationships/oleObject" Target="embeddings/oleObject65.bin"/><Relationship Id="rId182" Type="http://schemas.openxmlformats.org/officeDocument/2006/relationships/oleObject" Target="embeddings/oleObject64.bin"/><Relationship Id="rId181" Type="http://schemas.openxmlformats.org/officeDocument/2006/relationships/oleObject" Target="embeddings/oleObject63.bin"/><Relationship Id="rId180" Type="http://schemas.openxmlformats.org/officeDocument/2006/relationships/oleObject" Target="embeddings/oleObject62.bin"/><Relationship Id="rId18" Type="http://schemas.openxmlformats.org/officeDocument/2006/relationships/footer" Target="footer8.xml"/><Relationship Id="rId179" Type="http://schemas.openxmlformats.org/officeDocument/2006/relationships/image" Target="media/image74.wmf"/><Relationship Id="rId178" Type="http://schemas.openxmlformats.org/officeDocument/2006/relationships/oleObject" Target="embeddings/oleObject61.bin"/><Relationship Id="rId177" Type="http://schemas.openxmlformats.org/officeDocument/2006/relationships/oleObject" Target="embeddings/oleObject60.bin"/><Relationship Id="rId176" Type="http://schemas.openxmlformats.org/officeDocument/2006/relationships/image" Target="media/image73.wmf"/><Relationship Id="rId175" Type="http://schemas.openxmlformats.org/officeDocument/2006/relationships/oleObject" Target="embeddings/oleObject59.bin"/><Relationship Id="rId174" Type="http://schemas.openxmlformats.org/officeDocument/2006/relationships/oleObject" Target="embeddings/oleObject58.bin"/><Relationship Id="rId173" Type="http://schemas.openxmlformats.org/officeDocument/2006/relationships/image" Target="media/image72.wmf"/><Relationship Id="rId172" Type="http://schemas.openxmlformats.org/officeDocument/2006/relationships/oleObject" Target="embeddings/oleObject57.bin"/><Relationship Id="rId171" Type="http://schemas.openxmlformats.org/officeDocument/2006/relationships/image" Target="media/image71.wmf"/><Relationship Id="rId170" Type="http://schemas.openxmlformats.org/officeDocument/2006/relationships/oleObject" Target="embeddings/oleObject56.bin"/><Relationship Id="rId17" Type="http://schemas.openxmlformats.org/officeDocument/2006/relationships/footer" Target="footer7.xml"/><Relationship Id="rId169" Type="http://schemas.openxmlformats.org/officeDocument/2006/relationships/image" Target="media/image70.wmf"/><Relationship Id="rId168" Type="http://schemas.openxmlformats.org/officeDocument/2006/relationships/oleObject" Target="embeddings/oleObject55.bin"/><Relationship Id="rId167" Type="http://schemas.openxmlformats.org/officeDocument/2006/relationships/image" Target="media/image69.wmf"/><Relationship Id="rId166" Type="http://schemas.openxmlformats.org/officeDocument/2006/relationships/oleObject" Target="embeddings/oleObject54.bin"/><Relationship Id="rId165" Type="http://schemas.openxmlformats.org/officeDocument/2006/relationships/image" Target="media/image68.wmf"/><Relationship Id="rId164" Type="http://schemas.openxmlformats.org/officeDocument/2006/relationships/oleObject" Target="embeddings/oleObject53.bin"/><Relationship Id="rId163" Type="http://schemas.openxmlformats.org/officeDocument/2006/relationships/image" Target="media/image67.wmf"/><Relationship Id="rId162" Type="http://schemas.openxmlformats.org/officeDocument/2006/relationships/oleObject" Target="embeddings/oleObject52.bin"/><Relationship Id="rId161" Type="http://schemas.openxmlformats.org/officeDocument/2006/relationships/image" Target="media/image66.wmf"/><Relationship Id="rId160" Type="http://schemas.openxmlformats.org/officeDocument/2006/relationships/oleObject" Target="embeddings/oleObject51.bin"/><Relationship Id="rId16" Type="http://schemas.openxmlformats.org/officeDocument/2006/relationships/header" Target="header8.xml"/><Relationship Id="rId159" Type="http://schemas.openxmlformats.org/officeDocument/2006/relationships/image" Target="media/image65.wmf"/><Relationship Id="rId158" Type="http://schemas.openxmlformats.org/officeDocument/2006/relationships/oleObject" Target="embeddings/oleObject50.bin"/><Relationship Id="rId157" Type="http://schemas.openxmlformats.org/officeDocument/2006/relationships/image" Target="media/image64.png"/><Relationship Id="rId156" Type="http://schemas.openxmlformats.org/officeDocument/2006/relationships/image" Target="media/image63.png"/><Relationship Id="rId155" Type="http://schemas.openxmlformats.org/officeDocument/2006/relationships/image" Target="media/image62.emf"/><Relationship Id="rId154" Type="http://schemas.openxmlformats.org/officeDocument/2006/relationships/image" Target="media/image61.jpeg"/><Relationship Id="rId153" Type="http://schemas.openxmlformats.org/officeDocument/2006/relationships/image" Target="media/image60.wmf"/><Relationship Id="rId152" Type="http://schemas.openxmlformats.org/officeDocument/2006/relationships/oleObject" Target="embeddings/oleObject49.bin"/><Relationship Id="rId151" Type="http://schemas.openxmlformats.org/officeDocument/2006/relationships/image" Target="media/image59.wmf"/><Relationship Id="rId150" Type="http://schemas.openxmlformats.org/officeDocument/2006/relationships/oleObject" Target="embeddings/oleObject48.bin"/><Relationship Id="rId15" Type="http://schemas.openxmlformats.org/officeDocument/2006/relationships/header" Target="header7.xml"/><Relationship Id="rId149" Type="http://schemas.openxmlformats.org/officeDocument/2006/relationships/image" Target="media/image58.wmf"/><Relationship Id="rId148" Type="http://schemas.openxmlformats.org/officeDocument/2006/relationships/oleObject" Target="embeddings/oleObject47.bin"/><Relationship Id="rId147" Type="http://schemas.openxmlformats.org/officeDocument/2006/relationships/image" Target="media/image57.wmf"/><Relationship Id="rId146" Type="http://schemas.openxmlformats.org/officeDocument/2006/relationships/oleObject" Target="embeddings/oleObject46.bin"/><Relationship Id="rId145" Type="http://schemas.openxmlformats.org/officeDocument/2006/relationships/image" Target="media/image56.png"/><Relationship Id="rId144" Type="http://schemas.openxmlformats.org/officeDocument/2006/relationships/image" Target="media/image55.png"/><Relationship Id="rId143" Type="http://schemas.openxmlformats.org/officeDocument/2006/relationships/image" Target="media/image54.png"/><Relationship Id="rId142" Type="http://schemas.openxmlformats.org/officeDocument/2006/relationships/image" Target="media/image53.png"/><Relationship Id="rId141" Type="http://schemas.openxmlformats.org/officeDocument/2006/relationships/image" Target="media/image52.png"/><Relationship Id="rId140" Type="http://schemas.openxmlformats.org/officeDocument/2006/relationships/image" Target="media/image51.png"/><Relationship Id="rId14" Type="http://schemas.openxmlformats.org/officeDocument/2006/relationships/footer" Target="footer6.xml"/><Relationship Id="rId139" Type="http://schemas.openxmlformats.org/officeDocument/2006/relationships/image" Target="media/image50.jpeg"/><Relationship Id="rId138" Type="http://schemas.openxmlformats.org/officeDocument/2006/relationships/image" Target="media/image49.wmf"/><Relationship Id="rId137" Type="http://schemas.openxmlformats.org/officeDocument/2006/relationships/oleObject" Target="embeddings/oleObject45.bin"/><Relationship Id="rId136" Type="http://schemas.openxmlformats.org/officeDocument/2006/relationships/image" Target="media/image48.wmf"/><Relationship Id="rId135" Type="http://schemas.openxmlformats.org/officeDocument/2006/relationships/oleObject" Target="embeddings/oleObject44.bin"/><Relationship Id="rId134" Type="http://schemas.openxmlformats.org/officeDocument/2006/relationships/image" Target="media/image47.wmf"/><Relationship Id="rId133" Type="http://schemas.openxmlformats.org/officeDocument/2006/relationships/oleObject" Target="embeddings/oleObject43.bin"/><Relationship Id="rId132" Type="http://schemas.openxmlformats.org/officeDocument/2006/relationships/image" Target="media/image46.wmf"/><Relationship Id="rId131" Type="http://schemas.openxmlformats.org/officeDocument/2006/relationships/oleObject" Target="embeddings/oleObject42.bin"/><Relationship Id="rId130" Type="http://schemas.openxmlformats.org/officeDocument/2006/relationships/image" Target="media/image45.wmf"/><Relationship Id="rId13" Type="http://schemas.openxmlformats.org/officeDocument/2006/relationships/footer" Target="footer5.xml"/><Relationship Id="rId129" Type="http://schemas.openxmlformats.org/officeDocument/2006/relationships/oleObject" Target="embeddings/oleObject41.bin"/><Relationship Id="rId128" Type="http://schemas.openxmlformats.org/officeDocument/2006/relationships/image" Target="media/image44.wmf"/><Relationship Id="rId127" Type="http://schemas.openxmlformats.org/officeDocument/2006/relationships/oleObject" Target="embeddings/oleObject40.bin"/><Relationship Id="rId126" Type="http://schemas.openxmlformats.org/officeDocument/2006/relationships/image" Target="media/image43.wmf"/><Relationship Id="rId125" Type="http://schemas.openxmlformats.org/officeDocument/2006/relationships/oleObject" Target="embeddings/oleObject39.bin"/><Relationship Id="rId124" Type="http://schemas.openxmlformats.org/officeDocument/2006/relationships/image" Target="media/image42.wmf"/><Relationship Id="rId123" Type="http://schemas.openxmlformats.org/officeDocument/2006/relationships/oleObject" Target="embeddings/oleObject38.bin"/><Relationship Id="rId122" Type="http://schemas.openxmlformats.org/officeDocument/2006/relationships/image" Target="media/image41.wmf"/><Relationship Id="rId121" Type="http://schemas.openxmlformats.org/officeDocument/2006/relationships/oleObject" Target="embeddings/oleObject37.bin"/><Relationship Id="rId120" Type="http://schemas.openxmlformats.org/officeDocument/2006/relationships/image" Target="media/image40.wmf"/><Relationship Id="rId12" Type="http://schemas.openxmlformats.org/officeDocument/2006/relationships/header" Target="header6.xml"/><Relationship Id="rId119" Type="http://schemas.openxmlformats.org/officeDocument/2006/relationships/oleObject" Target="embeddings/oleObject36.bin"/><Relationship Id="rId118" Type="http://schemas.openxmlformats.org/officeDocument/2006/relationships/image" Target="media/image39.wmf"/><Relationship Id="rId117" Type="http://schemas.openxmlformats.org/officeDocument/2006/relationships/oleObject" Target="embeddings/oleObject35.bin"/><Relationship Id="rId116" Type="http://schemas.openxmlformats.org/officeDocument/2006/relationships/image" Target="media/image38.wmf"/><Relationship Id="rId115" Type="http://schemas.openxmlformats.org/officeDocument/2006/relationships/oleObject" Target="embeddings/oleObject34.bin"/><Relationship Id="rId114" Type="http://schemas.openxmlformats.org/officeDocument/2006/relationships/image" Target="media/image37.wmf"/><Relationship Id="rId113" Type="http://schemas.openxmlformats.org/officeDocument/2006/relationships/oleObject" Target="embeddings/oleObject33.bin"/><Relationship Id="rId112" Type="http://schemas.openxmlformats.org/officeDocument/2006/relationships/image" Target="media/image36.png"/><Relationship Id="rId111" Type="http://schemas.openxmlformats.org/officeDocument/2006/relationships/image" Target="media/image35.jpeg"/><Relationship Id="rId110" Type="http://schemas.openxmlformats.org/officeDocument/2006/relationships/image" Target="media/image34.jpeg"/><Relationship Id="rId11" Type="http://schemas.openxmlformats.org/officeDocument/2006/relationships/header" Target="header5.xml"/><Relationship Id="rId109" Type="http://schemas.openxmlformats.org/officeDocument/2006/relationships/image" Target="media/image33.png"/><Relationship Id="rId108" Type="http://schemas.openxmlformats.org/officeDocument/2006/relationships/image" Target="media/image32.png"/><Relationship Id="rId107" Type="http://schemas.openxmlformats.org/officeDocument/2006/relationships/image" Target="media/image31.png"/><Relationship Id="rId106" Type="http://schemas.openxmlformats.org/officeDocument/2006/relationships/image" Target="media/image30.wmf"/><Relationship Id="rId105" Type="http://schemas.openxmlformats.org/officeDocument/2006/relationships/oleObject" Target="embeddings/oleObject32.bin"/><Relationship Id="rId104" Type="http://schemas.openxmlformats.org/officeDocument/2006/relationships/image" Target="media/image29.wmf"/><Relationship Id="rId103" Type="http://schemas.openxmlformats.org/officeDocument/2006/relationships/oleObject" Target="embeddings/oleObject31.bin"/><Relationship Id="rId102" Type="http://schemas.openxmlformats.org/officeDocument/2006/relationships/image" Target="media/image28.wmf"/><Relationship Id="rId101" Type="http://schemas.openxmlformats.org/officeDocument/2006/relationships/oleObject" Target="embeddings/oleObject30.bin"/><Relationship Id="rId100" Type="http://schemas.openxmlformats.org/officeDocument/2006/relationships/image" Target="media/image27.png"/><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69;&#23478;&#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BA748DB698384A649AAADF4FD5797760"/>
        <w:style w:val=""/>
        <w:category>
          <w:name w:val="常规"/>
          <w:gallery w:val="placeholder"/>
        </w:category>
        <w:types>
          <w:type w:val="bbPlcHdr"/>
        </w:types>
        <w:behaviors>
          <w:behavior w:val="content"/>
        </w:behaviors>
        <w:description w:val=""/>
        <w:guid w:val="{15CEC2FD-64DC-424B-A1AB-A8CE8790A57F}"/>
      </w:docPartPr>
      <w:docPartBody>
        <w:p>
          <w:pPr>
            <w:pStyle w:val="5"/>
          </w:pPr>
          <w:r>
            <w:rPr>
              <w:rStyle w:val="4"/>
              <w:rFonts w:hint="eastAsia"/>
            </w:rPr>
            <w:t>单击或点击此处输入文字。</w:t>
          </w:r>
        </w:p>
      </w:docPartBody>
    </w:docPart>
    <w:docPart>
      <w:docPartPr>
        <w:name w:val="63D72F088DD54D3196D73F28FBC5A596"/>
        <w:style w:val=""/>
        <w:category>
          <w:name w:val="常规"/>
          <w:gallery w:val="placeholder"/>
        </w:category>
        <w:types>
          <w:type w:val="bbPlcHdr"/>
        </w:types>
        <w:behaviors>
          <w:behavior w:val="content"/>
        </w:behaviors>
        <w:description w:val=""/>
        <w:guid w:val="{6CD626CC-3351-4205-A6AC-A41CEA16FC75}"/>
      </w:docPartPr>
      <w:docPartBody>
        <w:p>
          <w:pPr>
            <w:pStyle w:val="6"/>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086"/>
    <w:rsid w:val="0001129B"/>
    <w:rsid w:val="00033F18"/>
    <w:rsid w:val="00142307"/>
    <w:rsid w:val="00150429"/>
    <w:rsid w:val="00191CB5"/>
    <w:rsid w:val="001B02A3"/>
    <w:rsid w:val="002008FF"/>
    <w:rsid w:val="0021123D"/>
    <w:rsid w:val="00264F35"/>
    <w:rsid w:val="002844A1"/>
    <w:rsid w:val="002A0E36"/>
    <w:rsid w:val="002A1D61"/>
    <w:rsid w:val="002C7A68"/>
    <w:rsid w:val="002E53CE"/>
    <w:rsid w:val="002F24A1"/>
    <w:rsid w:val="00313615"/>
    <w:rsid w:val="00341E1C"/>
    <w:rsid w:val="003515F4"/>
    <w:rsid w:val="003955A8"/>
    <w:rsid w:val="003C486C"/>
    <w:rsid w:val="003E7D61"/>
    <w:rsid w:val="003F3086"/>
    <w:rsid w:val="00471961"/>
    <w:rsid w:val="004B3B28"/>
    <w:rsid w:val="004E0C5B"/>
    <w:rsid w:val="004F230F"/>
    <w:rsid w:val="0050192E"/>
    <w:rsid w:val="00552FA4"/>
    <w:rsid w:val="005723E4"/>
    <w:rsid w:val="0066157A"/>
    <w:rsid w:val="00682823"/>
    <w:rsid w:val="00683336"/>
    <w:rsid w:val="006B20A0"/>
    <w:rsid w:val="006C09FC"/>
    <w:rsid w:val="006D713C"/>
    <w:rsid w:val="006F0CCC"/>
    <w:rsid w:val="00761CD6"/>
    <w:rsid w:val="007E1C8D"/>
    <w:rsid w:val="00865359"/>
    <w:rsid w:val="00884AD4"/>
    <w:rsid w:val="00887192"/>
    <w:rsid w:val="008D68F1"/>
    <w:rsid w:val="008F70E5"/>
    <w:rsid w:val="009649ED"/>
    <w:rsid w:val="009C39D6"/>
    <w:rsid w:val="00A468D1"/>
    <w:rsid w:val="00A81C51"/>
    <w:rsid w:val="00AA401C"/>
    <w:rsid w:val="00AC51FD"/>
    <w:rsid w:val="00AD3F58"/>
    <w:rsid w:val="00B228FB"/>
    <w:rsid w:val="00B32F38"/>
    <w:rsid w:val="00BE5730"/>
    <w:rsid w:val="00D4698A"/>
    <w:rsid w:val="00D509B6"/>
    <w:rsid w:val="00D60637"/>
    <w:rsid w:val="00D740C8"/>
    <w:rsid w:val="00DC3AB3"/>
    <w:rsid w:val="00E45BEB"/>
    <w:rsid w:val="00E47E42"/>
    <w:rsid w:val="00E638F8"/>
    <w:rsid w:val="00E675BA"/>
    <w:rsid w:val="00EA0988"/>
    <w:rsid w:val="00F14082"/>
    <w:rsid w:val="00F14B5C"/>
    <w:rsid w:val="00F31CAD"/>
    <w:rsid w:val="00F41865"/>
    <w:rsid w:val="00F54828"/>
    <w:rsid w:val="00F91269"/>
    <w:rsid w:val="00F92167"/>
    <w:rsid w:val="00FF4D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BA748DB698384A649AAADF4FD579776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63D72F088DD54D3196D73F28FBC5A596"/>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617494-E961-4260-A38F-ED6E5B596504}">
  <ds:schemaRefs/>
</ds:datastoreItem>
</file>

<file path=docProps/app.xml><?xml version="1.0" encoding="utf-8"?>
<Properties xmlns="http://schemas.openxmlformats.org/officeDocument/2006/extended-properties" xmlns:vt="http://schemas.openxmlformats.org/officeDocument/2006/docPropsVTypes">
  <Template>国家标准.dotx</Template>
  <Company>PCMI</Company>
  <Pages>42</Pages>
  <Words>3566</Words>
  <Characters>20331</Characters>
  <Lines>169</Lines>
  <Paragraphs>47</Paragraphs>
  <TotalTime>3</TotalTime>
  <ScaleCrop>false</ScaleCrop>
  <LinksUpToDate>false</LinksUpToDate>
  <CharactersWithSpaces>23850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2021-03-04T11:42:00Z</dcterms:created>
  <dc:creator>wangda</dc:creator>
  <cp:lastModifiedBy>Administrator</cp:lastModifiedBy>
  <cp:lastPrinted>2021-11-29T03:01:00Z</cp:lastPrinted>
  <dcterms:modified xsi:type="dcterms:W3CDTF">2022-01-05T07:01:30Z</dcterms:modified>
  <dc:title>国家标准</dc:title>
  <cp:revision>252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国家标准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MTWinEqns">
    <vt:bool>true</vt:bool>
  </property>
  <property fmtid="{D5CDD505-2E9C-101B-9397-08002B2CF9AE}" pid="16" name="KSOProductBuildVer">
    <vt:lpwstr>2052-11.1.0.10314</vt:lpwstr>
  </property>
</Properties>
</file>